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CE66F" w14:textId="77777777" w:rsidR="00137E4E" w:rsidRPr="00E154EC" w:rsidRDefault="00E154EC" w:rsidP="009E31B7">
      <w:pPr>
        <w:pStyle w:val="Titre"/>
        <w:pBdr>
          <w:bottom w:val="single" w:sz="12" w:space="9" w:color="B2A1C7"/>
        </w:pBdr>
        <w:spacing w:before="0" w:after="0"/>
        <w:rPr>
          <w:rFonts w:asciiTheme="minorHAnsi" w:hAnsiTheme="minorHAnsi"/>
          <w:b/>
          <w:bCs/>
        </w:rPr>
      </w:pPr>
      <w:bookmarkStart w:id="0" w:name="_Toc74831087"/>
      <w:bookmarkStart w:id="1" w:name="_Toc75420381"/>
      <w:r w:rsidRPr="00E154EC">
        <w:rPr>
          <w:rFonts w:asciiTheme="minorHAnsi" w:hAnsiTheme="minorHAnsi"/>
          <w:b/>
          <w:bCs/>
        </w:rPr>
        <w:t xml:space="preserve">Financements européens pertinents pour la transition écologique </w:t>
      </w:r>
      <w:r w:rsidR="001544E2">
        <w:rPr>
          <w:rFonts w:asciiTheme="minorHAnsi" w:hAnsiTheme="minorHAnsi"/>
          <w:b/>
          <w:bCs/>
        </w:rPr>
        <w:t xml:space="preserve">et énergétique </w:t>
      </w:r>
      <w:r w:rsidRPr="00E154EC">
        <w:rPr>
          <w:rFonts w:asciiTheme="minorHAnsi" w:hAnsiTheme="minorHAnsi"/>
          <w:b/>
          <w:bCs/>
        </w:rPr>
        <w:t>dans le Grand Est</w:t>
      </w:r>
      <w:bookmarkEnd w:id="0"/>
      <w:bookmarkEnd w:id="1"/>
    </w:p>
    <w:p w14:paraId="75712BBA" w14:textId="5D892BB0" w:rsidR="00E154EC" w:rsidRPr="00E154EC" w:rsidRDefault="00372AF5" w:rsidP="009E31B7">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color w:val="403152"/>
          <w:sz w:val="40"/>
          <w:szCs w:val="40"/>
        </w:rPr>
        <w:t>Energies renouvelables et de récupération</w:t>
      </w:r>
    </w:p>
    <w:p w14:paraId="11A784FF" w14:textId="77777777" w:rsidR="005F3238" w:rsidRDefault="005F3238" w:rsidP="00211346">
      <w:pPr>
        <w:jc w:val="center"/>
        <w:rPr>
          <w:rFonts w:asciiTheme="minorHAnsi" w:eastAsia="Times New Roman" w:hAnsiTheme="minorHAnsi" w:cs="Arial"/>
          <w:b/>
          <w:bCs/>
          <w:smallCaps/>
          <w:color w:val="403152"/>
          <w:sz w:val="32"/>
          <w:szCs w:val="32"/>
        </w:rPr>
      </w:pPr>
    </w:p>
    <w:p w14:paraId="62A5D904" w14:textId="77777777" w:rsidR="00851DC3" w:rsidRDefault="00851DC3" w:rsidP="00211346">
      <w:pPr>
        <w:jc w:val="center"/>
        <w:rPr>
          <w:rFonts w:asciiTheme="minorHAnsi" w:eastAsia="Times New Roman" w:hAnsiTheme="minorHAnsi" w:cs="Arial"/>
          <w:b/>
          <w:bCs/>
          <w:smallCaps/>
          <w:color w:val="403152"/>
          <w:sz w:val="32"/>
          <w:szCs w:val="32"/>
        </w:rPr>
      </w:pPr>
    </w:p>
    <w:p w14:paraId="2D831A49" w14:textId="6B9865CE" w:rsidR="008977B6" w:rsidRDefault="009C7144" w:rsidP="005F3238">
      <w:pPr>
        <w:pStyle w:val="EnvTitreparagraphe"/>
        <w:spacing w:before="0"/>
        <w:rPr>
          <w:sz w:val="24"/>
          <w:szCs w:val="24"/>
        </w:rPr>
      </w:pPr>
      <w:r>
        <w:rPr>
          <w:sz w:val="24"/>
          <w:szCs w:val="24"/>
        </w:rPr>
        <w:t xml:space="preserve">Contexte et enjeux </w:t>
      </w:r>
      <w:r w:rsidR="00E3188C">
        <w:rPr>
          <w:sz w:val="24"/>
          <w:szCs w:val="24"/>
        </w:rPr>
        <w:t>pour</w:t>
      </w:r>
      <w:r>
        <w:rPr>
          <w:sz w:val="24"/>
          <w:szCs w:val="24"/>
        </w:rPr>
        <w:t xml:space="preserve"> le Grand Est</w:t>
      </w:r>
    </w:p>
    <w:p w14:paraId="21983E65" w14:textId="02412D10" w:rsidR="00372AF5" w:rsidRDefault="00372AF5" w:rsidP="00372AF5">
      <w:pPr>
        <w:pStyle w:val="Default"/>
        <w:jc w:val="both"/>
        <w:rPr>
          <w:sz w:val="22"/>
          <w:szCs w:val="22"/>
        </w:rPr>
      </w:pPr>
      <w:r>
        <w:rPr>
          <w:sz w:val="22"/>
          <w:szCs w:val="22"/>
        </w:rPr>
        <w:t xml:space="preserve">Le premier objectif du SRADDET est de « </w:t>
      </w:r>
      <w:r>
        <w:rPr>
          <w:i/>
          <w:iCs/>
          <w:sz w:val="22"/>
          <w:szCs w:val="22"/>
        </w:rPr>
        <w:t xml:space="preserve">Devenir une région à énergie positive et bas-carbone à horizon 2050 </w:t>
      </w:r>
      <w:r>
        <w:rPr>
          <w:sz w:val="22"/>
          <w:szCs w:val="22"/>
        </w:rPr>
        <w:t>», ce qui nécessite entre autres de multiplier par 3,2 la production d’énergies renouvelable et de récupération</w:t>
      </w:r>
      <w:r w:rsidR="007E469B">
        <w:rPr>
          <w:sz w:val="22"/>
          <w:szCs w:val="22"/>
        </w:rPr>
        <w:t xml:space="preserve"> (</w:t>
      </w:r>
      <w:proofErr w:type="spellStart"/>
      <w:r w:rsidR="007E469B">
        <w:rPr>
          <w:sz w:val="22"/>
          <w:szCs w:val="22"/>
        </w:rPr>
        <w:t>EnRR</w:t>
      </w:r>
      <w:proofErr w:type="spellEnd"/>
      <w:r w:rsidR="007E469B">
        <w:rPr>
          <w:sz w:val="22"/>
          <w:szCs w:val="22"/>
        </w:rPr>
        <w:t>)</w:t>
      </w:r>
      <w:r>
        <w:rPr>
          <w:sz w:val="22"/>
          <w:szCs w:val="22"/>
        </w:rPr>
        <w:t xml:space="preserve">, afin que celles-ci couvrent 100% des besoins énergétiques régionaux. L’objectif 4, « </w:t>
      </w:r>
      <w:r>
        <w:rPr>
          <w:i/>
          <w:iCs/>
          <w:sz w:val="22"/>
          <w:szCs w:val="22"/>
        </w:rPr>
        <w:t xml:space="preserve">Développer les énergies renouvelables pour diversifier le mix énergétique </w:t>
      </w:r>
      <w:r>
        <w:rPr>
          <w:sz w:val="22"/>
          <w:szCs w:val="22"/>
        </w:rPr>
        <w:t xml:space="preserve">», décrit les différentes trajectoires de développement visées en fonction de la source d’énergie : </w:t>
      </w:r>
    </w:p>
    <w:p w14:paraId="689E6C46" w14:textId="0DA3E828" w:rsidR="00372AF5" w:rsidRDefault="00372AF5" w:rsidP="00372AF5">
      <w:pPr>
        <w:pStyle w:val="Default"/>
        <w:numPr>
          <w:ilvl w:val="0"/>
          <w:numId w:val="31"/>
        </w:numPr>
        <w:spacing w:after="30"/>
        <w:jc w:val="both"/>
        <w:rPr>
          <w:sz w:val="22"/>
          <w:szCs w:val="22"/>
        </w:rPr>
      </w:pPr>
      <w:r>
        <w:rPr>
          <w:sz w:val="22"/>
          <w:szCs w:val="22"/>
        </w:rPr>
        <w:t xml:space="preserve">Maintien de la filière bois comme première filière renouvelable jusqu’en 2030 ; </w:t>
      </w:r>
    </w:p>
    <w:p w14:paraId="20ACB37D" w14:textId="640E029F" w:rsidR="00372AF5" w:rsidRDefault="00372AF5" w:rsidP="00372AF5">
      <w:pPr>
        <w:pStyle w:val="Default"/>
        <w:numPr>
          <w:ilvl w:val="0"/>
          <w:numId w:val="31"/>
        </w:numPr>
        <w:spacing w:after="30"/>
        <w:jc w:val="both"/>
        <w:rPr>
          <w:sz w:val="22"/>
          <w:szCs w:val="22"/>
        </w:rPr>
      </w:pPr>
      <w:r>
        <w:rPr>
          <w:sz w:val="22"/>
          <w:szCs w:val="22"/>
        </w:rPr>
        <w:t xml:space="preserve">Essor de la filière biogaz (méthanisation et gazéification), afin qu’elle devienne la première filière renouvelable en 2050 ; </w:t>
      </w:r>
    </w:p>
    <w:p w14:paraId="1C6E9821" w14:textId="08878188" w:rsidR="00372AF5" w:rsidRDefault="00372AF5" w:rsidP="00372AF5">
      <w:pPr>
        <w:pStyle w:val="Default"/>
        <w:numPr>
          <w:ilvl w:val="0"/>
          <w:numId w:val="31"/>
        </w:numPr>
        <w:spacing w:after="30"/>
        <w:jc w:val="both"/>
        <w:rPr>
          <w:sz w:val="22"/>
          <w:szCs w:val="22"/>
        </w:rPr>
      </w:pPr>
      <w:r>
        <w:rPr>
          <w:sz w:val="22"/>
          <w:szCs w:val="22"/>
        </w:rPr>
        <w:t xml:space="preserve">Consolidation de la filière éolienne, qui serait la troisième filière en 2050 ; </w:t>
      </w:r>
    </w:p>
    <w:p w14:paraId="59CEFC09" w14:textId="5180E3DF" w:rsidR="00372AF5" w:rsidRDefault="00372AF5" w:rsidP="00372AF5">
      <w:pPr>
        <w:pStyle w:val="Default"/>
        <w:numPr>
          <w:ilvl w:val="0"/>
          <w:numId w:val="31"/>
        </w:numPr>
        <w:spacing w:after="30"/>
        <w:jc w:val="both"/>
        <w:rPr>
          <w:sz w:val="22"/>
          <w:szCs w:val="22"/>
        </w:rPr>
      </w:pPr>
      <w:r>
        <w:rPr>
          <w:sz w:val="22"/>
          <w:szCs w:val="22"/>
        </w:rPr>
        <w:t xml:space="preserve">Fort développement de l’exploitation de la chaleur fatale, en s’appuyant sur le tissu industriel du Grand Est ; </w:t>
      </w:r>
    </w:p>
    <w:p w14:paraId="74A7BB22" w14:textId="58B2B4F5" w:rsidR="00372AF5" w:rsidRDefault="00372AF5" w:rsidP="00372AF5">
      <w:pPr>
        <w:pStyle w:val="Default"/>
        <w:numPr>
          <w:ilvl w:val="0"/>
          <w:numId w:val="31"/>
        </w:numPr>
        <w:jc w:val="both"/>
        <w:rPr>
          <w:sz w:val="22"/>
          <w:szCs w:val="22"/>
        </w:rPr>
      </w:pPr>
      <w:r>
        <w:rPr>
          <w:sz w:val="22"/>
          <w:szCs w:val="22"/>
        </w:rPr>
        <w:t xml:space="preserve">Augmentation progressive de la géothermie. </w:t>
      </w:r>
    </w:p>
    <w:p w14:paraId="61C30DB2" w14:textId="77777777" w:rsidR="00372AF5" w:rsidRDefault="00372AF5" w:rsidP="00372AF5">
      <w:pPr>
        <w:pStyle w:val="Default"/>
        <w:jc w:val="both"/>
        <w:rPr>
          <w:sz w:val="22"/>
          <w:szCs w:val="22"/>
        </w:rPr>
      </w:pPr>
    </w:p>
    <w:p w14:paraId="49A10C83" w14:textId="12F159BB" w:rsidR="00372AF5" w:rsidRDefault="00372AF5" w:rsidP="00372AF5">
      <w:pPr>
        <w:jc w:val="both"/>
        <w:rPr>
          <w:rFonts w:ascii="Calibri" w:hAnsi="Calibri" w:cs="Calibri"/>
        </w:rPr>
      </w:pPr>
      <w:r>
        <w:t xml:space="preserve">Enfin, l’objectif 5 du SRADDET, « </w:t>
      </w:r>
      <w:r>
        <w:rPr>
          <w:i/>
          <w:iCs/>
        </w:rPr>
        <w:t xml:space="preserve">Optimiser et adapter les réseaux de transport d’énergie </w:t>
      </w:r>
      <w:r>
        <w:t>», souligne que ceux-ci doivent évoluer pour s’adapter à ce développement d’énergies renouvelables décentralisées, et notamment que le développement de solutions en matière de stockage et de réseau intelligent est nécessaire.</w:t>
      </w:r>
    </w:p>
    <w:p w14:paraId="4370FC2F" w14:textId="77777777" w:rsidR="00A46628" w:rsidRDefault="00A46628" w:rsidP="00372AF5">
      <w:pPr>
        <w:pStyle w:val="Default"/>
        <w:jc w:val="both"/>
        <w:rPr>
          <w:bCs/>
          <w:color w:val="auto"/>
          <w:sz w:val="22"/>
          <w:szCs w:val="22"/>
        </w:rPr>
      </w:pPr>
    </w:p>
    <w:p w14:paraId="252426B8" w14:textId="6E04A669" w:rsidR="00372AF5" w:rsidRDefault="00A918BA" w:rsidP="00372AF5">
      <w:pPr>
        <w:pStyle w:val="Default"/>
        <w:jc w:val="both"/>
      </w:pPr>
      <w:r w:rsidRPr="00372AF5">
        <w:rPr>
          <w:bCs/>
          <w:color w:val="auto"/>
          <w:sz w:val="22"/>
          <w:szCs w:val="22"/>
        </w:rPr>
        <w:t>Dans ce contexte</w:t>
      </w:r>
      <w:r w:rsidRPr="00372AF5">
        <w:rPr>
          <w:b/>
          <w:bCs/>
          <w:color w:val="auto"/>
          <w:sz w:val="22"/>
          <w:szCs w:val="22"/>
        </w:rPr>
        <w:t xml:space="preserve">, les acteurs du secteur ont identifié plusieurs besoins et thématiques prioritaires pour pouvoir atteindre ces objectifs : </w:t>
      </w:r>
    </w:p>
    <w:p w14:paraId="73FEC5DF" w14:textId="12B45399" w:rsidR="00372AF5" w:rsidRPr="00E956E3" w:rsidRDefault="00E956E3" w:rsidP="00905669">
      <w:pPr>
        <w:pStyle w:val="Default"/>
        <w:numPr>
          <w:ilvl w:val="0"/>
          <w:numId w:val="33"/>
        </w:numPr>
        <w:spacing w:after="30"/>
        <w:jc w:val="both"/>
        <w:rPr>
          <w:sz w:val="22"/>
          <w:szCs w:val="22"/>
        </w:rPr>
      </w:pPr>
      <w:r w:rsidRPr="00E956E3">
        <w:rPr>
          <w:sz w:val="22"/>
          <w:szCs w:val="22"/>
        </w:rPr>
        <w:t>Le déploiement des infrastructures, notamment pour le</w:t>
      </w:r>
      <w:r w:rsidR="00372AF5" w:rsidRPr="00E956E3">
        <w:rPr>
          <w:sz w:val="22"/>
          <w:szCs w:val="22"/>
        </w:rPr>
        <w:t xml:space="preserve"> </w:t>
      </w:r>
      <w:r w:rsidR="00372AF5" w:rsidRPr="00E956E3">
        <w:rPr>
          <w:b/>
          <w:bCs/>
          <w:sz w:val="22"/>
          <w:szCs w:val="22"/>
        </w:rPr>
        <w:t xml:space="preserve">développement d’écosystèmes </w:t>
      </w:r>
      <w:r w:rsidR="00A46628" w:rsidRPr="00E956E3">
        <w:rPr>
          <w:b/>
          <w:bCs/>
          <w:sz w:val="22"/>
          <w:szCs w:val="22"/>
        </w:rPr>
        <w:t xml:space="preserve">territoriaux </w:t>
      </w:r>
      <w:r w:rsidR="00372AF5" w:rsidRPr="00E956E3">
        <w:rPr>
          <w:b/>
          <w:bCs/>
          <w:sz w:val="22"/>
          <w:szCs w:val="22"/>
        </w:rPr>
        <w:t>énergétiques complet</w:t>
      </w:r>
      <w:r w:rsidR="00A46628" w:rsidRPr="00E956E3">
        <w:rPr>
          <w:b/>
          <w:bCs/>
          <w:sz w:val="22"/>
          <w:szCs w:val="22"/>
        </w:rPr>
        <w:t>s</w:t>
      </w:r>
      <w:r>
        <w:rPr>
          <w:sz w:val="22"/>
          <w:szCs w:val="22"/>
        </w:rPr>
        <w:t>, l</w:t>
      </w:r>
      <w:r w:rsidR="00372AF5" w:rsidRPr="00E956E3">
        <w:rPr>
          <w:sz w:val="22"/>
          <w:szCs w:val="22"/>
        </w:rPr>
        <w:t xml:space="preserve">a nécessité </w:t>
      </w:r>
      <w:r w:rsidR="00372AF5" w:rsidRPr="00E956E3">
        <w:rPr>
          <w:b/>
          <w:bCs/>
          <w:sz w:val="22"/>
          <w:szCs w:val="22"/>
        </w:rPr>
        <w:t xml:space="preserve">d’améliorer les systèmes de stockage et la gestion des réseaux électriques </w:t>
      </w:r>
      <w:r w:rsidR="00372AF5" w:rsidRPr="00E956E3">
        <w:rPr>
          <w:sz w:val="22"/>
          <w:szCs w:val="22"/>
        </w:rPr>
        <w:t xml:space="preserve">en favorisant des logiques de </w:t>
      </w:r>
      <w:proofErr w:type="spellStart"/>
      <w:r w:rsidR="00372AF5" w:rsidRPr="00E956E3">
        <w:rPr>
          <w:i/>
          <w:iCs/>
          <w:sz w:val="22"/>
          <w:szCs w:val="22"/>
        </w:rPr>
        <w:t>smart-grid</w:t>
      </w:r>
      <w:proofErr w:type="spellEnd"/>
      <w:r w:rsidR="00F1059D" w:rsidRPr="00E956E3">
        <w:rPr>
          <w:sz w:val="22"/>
          <w:szCs w:val="22"/>
        </w:rPr>
        <w:t xml:space="preserve"> (ex : </w:t>
      </w:r>
      <w:r w:rsidR="00372AF5" w:rsidRPr="00E956E3">
        <w:rPr>
          <w:sz w:val="22"/>
          <w:szCs w:val="22"/>
        </w:rPr>
        <w:t>adossement de l’éolien à l’hydrogène pour permettre le stockage d’énergie</w:t>
      </w:r>
      <w:r w:rsidR="00F1059D" w:rsidRPr="00E956E3">
        <w:rPr>
          <w:sz w:val="22"/>
          <w:szCs w:val="22"/>
        </w:rPr>
        <w:t>)</w:t>
      </w:r>
      <w:r>
        <w:rPr>
          <w:sz w:val="22"/>
          <w:szCs w:val="22"/>
        </w:rPr>
        <w:t xml:space="preserve"> ou encore le développement de la méthanisation.</w:t>
      </w:r>
    </w:p>
    <w:p w14:paraId="0FF9FC11" w14:textId="64289545" w:rsidR="00372AF5" w:rsidRDefault="00372AF5" w:rsidP="00372AF5">
      <w:pPr>
        <w:pStyle w:val="Default"/>
        <w:numPr>
          <w:ilvl w:val="0"/>
          <w:numId w:val="33"/>
        </w:numPr>
        <w:spacing w:after="30"/>
        <w:jc w:val="both"/>
        <w:rPr>
          <w:sz w:val="22"/>
          <w:szCs w:val="22"/>
        </w:rPr>
      </w:pPr>
      <w:r>
        <w:rPr>
          <w:sz w:val="22"/>
          <w:szCs w:val="22"/>
        </w:rPr>
        <w:t xml:space="preserve">Le besoin de </w:t>
      </w:r>
      <w:r>
        <w:rPr>
          <w:b/>
          <w:bCs/>
          <w:sz w:val="22"/>
          <w:szCs w:val="22"/>
        </w:rPr>
        <w:t xml:space="preserve">montée en compétences </w:t>
      </w:r>
      <w:r>
        <w:rPr>
          <w:sz w:val="22"/>
          <w:szCs w:val="22"/>
        </w:rPr>
        <w:t xml:space="preserve">sur ces sources d’énergie. </w:t>
      </w:r>
    </w:p>
    <w:p w14:paraId="0447DBFD" w14:textId="64278A5A" w:rsidR="00372AF5" w:rsidRDefault="00372AF5" w:rsidP="00372AF5">
      <w:pPr>
        <w:pStyle w:val="Default"/>
        <w:numPr>
          <w:ilvl w:val="0"/>
          <w:numId w:val="33"/>
        </w:numPr>
        <w:jc w:val="both"/>
        <w:rPr>
          <w:sz w:val="22"/>
          <w:szCs w:val="22"/>
        </w:rPr>
      </w:pPr>
      <w:r>
        <w:rPr>
          <w:sz w:val="22"/>
          <w:szCs w:val="22"/>
        </w:rPr>
        <w:t xml:space="preserve">Le potentiel des </w:t>
      </w:r>
      <w:r>
        <w:rPr>
          <w:b/>
          <w:bCs/>
          <w:sz w:val="22"/>
          <w:szCs w:val="22"/>
        </w:rPr>
        <w:t xml:space="preserve">projets d’énergie renouvelable citoyens </w:t>
      </w:r>
      <w:r>
        <w:rPr>
          <w:sz w:val="22"/>
          <w:szCs w:val="22"/>
        </w:rPr>
        <w:t xml:space="preserve">a également été mis en avant à plusieurs reprises. </w:t>
      </w:r>
    </w:p>
    <w:p w14:paraId="4C566881" w14:textId="77F2D507" w:rsidR="00372AF5" w:rsidRDefault="00372AF5" w:rsidP="00372AF5">
      <w:pPr>
        <w:pStyle w:val="Default"/>
        <w:numPr>
          <w:ilvl w:val="0"/>
          <w:numId w:val="33"/>
        </w:numPr>
        <w:jc w:val="both"/>
        <w:rPr>
          <w:sz w:val="22"/>
          <w:szCs w:val="22"/>
        </w:rPr>
      </w:pPr>
      <w:r>
        <w:rPr>
          <w:sz w:val="22"/>
          <w:szCs w:val="22"/>
        </w:rPr>
        <w:t xml:space="preserve">Le développement de </w:t>
      </w:r>
      <w:r w:rsidRPr="00372AF5">
        <w:rPr>
          <w:b/>
          <w:bCs/>
          <w:sz w:val="22"/>
          <w:szCs w:val="22"/>
        </w:rPr>
        <w:t>réseaux transnationaux énergétiques</w:t>
      </w:r>
      <w:r>
        <w:rPr>
          <w:sz w:val="22"/>
          <w:szCs w:val="22"/>
        </w:rPr>
        <w:t>.</w:t>
      </w:r>
    </w:p>
    <w:p w14:paraId="6499B082" w14:textId="77777777" w:rsidR="006A7CE4" w:rsidRDefault="00E3188C" w:rsidP="006A7CE4">
      <w:pPr>
        <w:pStyle w:val="EnvTitreparagraphe"/>
        <w:rPr>
          <w:sz w:val="24"/>
          <w:szCs w:val="24"/>
        </w:rPr>
      </w:pPr>
      <w:r>
        <w:rPr>
          <w:sz w:val="24"/>
          <w:szCs w:val="24"/>
        </w:rPr>
        <w:t>Dispositifs de financement pertinents</w:t>
      </w:r>
    </w:p>
    <w:p w14:paraId="4968706B" w14:textId="77777777" w:rsidR="0080242E" w:rsidRDefault="0080242E" w:rsidP="0080242E">
      <w:pPr>
        <w:spacing w:after="120"/>
        <w:jc w:val="both"/>
        <w:rPr>
          <w:i/>
          <w:iCs/>
          <w:color w:val="000000" w:themeColor="text1"/>
        </w:rPr>
      </w:pPr>
      <w:r w:rsidRPr="00837B85">
        <w:rPr>
          <w:b/>
          <w:bCs/>
          <w:i/>
          <w:iCs/>
          <w:color w:val="000000" w:themeColor="text1"/>
        </w:rPr>
        <w:t>Mode d’emploi</w:t>
      </w:r>
      <w:r>
        <w:rPr>
          <w:i/>
          <w:iCs/>
          <w:color w:val="000000" w:themeColor="text1"/>
        </w:rPr>
        <w:t> - Cette fiche</w:t>
      </w:r>
      <w:r w:rsidRPr="00414112">
        <w:rPr>
          <w:i/>
          <w:iCs/>
          <w:color w:val="000000" w:themeColor="text1"/>
        </w:rPr>
        <w:t xml:space="preserve"> n’a pas vocation </w:t>
      </w:r>
      <w:r>
        <w:rPr>
          <w:i/>
          <w:iCs/>
          <w:color w:val="000000" w:themeColor="text1"/>
        </w:rPr>
        <w:t>à</w:t>
      </w:r>
      <w:r w:rsidRPr="00414112">
        <w:rPr>
          <w:i/>
          <w:iCs/>
          <w:color w:val="000000" w:themeColor="text1"/>
        </w:rPr>
        <w:t xml:space="preserve"> fournir toutes les informations sur les</w:t>
      </w:r>
      <w:r>
        <w:rPr>
          <w:i/>
          <w:iCs/>
          <w:color w:val="000000" w:themeColor="text1"/>
        </w:rPr>
        <w:t xml:space="preserve"> différents</w:t>
      </w:r>
      <w:r w:rsidRPr="00414112">
        <w:rPr>
          <w:i/>
          <w:iCs/>
          <w:color w:val="000000" w:themeColor="text1"/>
        </w:rPr>
        <w:t xml:space="preserve"> programmes de financement</w:t>
      </w:r>
      <w:r>
        <w:rPr>
          <w:i/>
          <w:iCs/>
          <w:color w:val="000000" w:themeColor="text1"/>
        </w:rPr>
        <w:t xml:space="preserve"> existants mais</w:t>
      </w:r>
      <w:r w:rsidRPr="00414112">
        <w:rPr>
          <w:i/>
          <w:iCs/>
          <w:color w:val="000000" w:themeColor="text1"/>
        </w:rPr>
        <w:t xml:space="preserve"> </w:t>
      </w:r>
      <w:r>
        <w:rPr>
          <w:i/>
          <w:iCs/>
          <w:color w:val="000000" w:themeColor="text1"/>
        </w:rPr>
        <w:t>vise uniquement à servir d’aiguillage, de point d’entrée, pour les personnes souhaitant se renseigner sur les possibilités de financement de leur projet.</w:t>
      </w:r>
    </w:p>
    <w:p w14:paraId="46AD9987" w14:textId="77777777" w:rsidR="0080242E" w:rsidRDefault="0080242E" w:rsidP="0080242E">
      <w:pPr>
        <w:spacing w:after="120"/>
        <w:jc w:val="both"/>
        <w:rPr>
          <w:i/>
          <w:iCs/>
          <w:color w:val="000000" w:themeColor="text1"/>
        </w:rPr>
      </w:pPr>
      <w:r>
        <w:rPr>
          <w:i/>
          <w:iCs/>
          <w:color w:val="000000" w:themeColor="text1"/>
        </w:rPr>
        <w:t>Si l’un des programmes présentés ici vous semble intéressant, il est donc nécessaire de consulter la fiche dédiée, qui détaillera la durée de projet, le montant des budgets attendus et le taux de cofinancement, le type de partenariat attendu, etc.</w:t>
      </w:r>
    </w:p>
    <w:p w14:paraId="0CE7B606" w14:textId="77777777" w:rsidR="0080242E" w:rsidRDefault="0080242E" w:rsidP="0080242E">
      <w:pPr>
        <w:spacing w:after="120"/>
        <w:jc w:val="both"/>
        <w:rPr>
          <w:i/>
          <w:iCs/>
          <w:color w:val="000000" w:themeColor="text1"/>
        </w:rPr>
      </w:pPr>
      <w:r>
        <w:rPr>
          <w:i/>
          <w:iCs/>
          <w:color w:val="000000" w:themeColor="text1"/>
        </w:rPr>
        <w:t>N.B : ces fiches visant à identifier les possibilités de financement autres que celles offertes par les fonds structurels (FEDER, FEADER, FSE, etc.) ces fonds ne sont donc pas mentionnés ici.</w:t>
      </w:r>
    </w:p>
    <w:p w14:paraId="303EBFD3" w14:textId="7715DBDD" w:rsidR="0080242E" w:rsidRDefault="0080242E" w:rsidP="0080242E">
      <w:pPr>
        <w:spacing w:after="120"/>
        <w:jc w:val="both"/>
        <w:rPr>
          <w:i/>
          <w:iCs/>
          <w:color w:val="000000" w:themeColor="text1"/>
        </w:rPr>
      </w:pPr>
      <w:r>
        <w:rPr>
          <w:i/>
          <w:iCs/>
          <w:color w:val="000000" w:themeColor="text1"/>
        </w:rPr>
        <w:lastRenderedPageBreak/>
        <w:t>N.B 2 : les programmes de financement apparaitront plusieurs fois dans chaque fiche, car chaque programme permet de financer plusieurs thématiques identifiées comme prioritaires pour la Région Grand Est. Il est donc recommandé de ne lire que les sous-domaines intéressants pour vous.</w:t>
      </w:r>
    </w:p>
    <w:p w14:paraId="511E87FB" w14:textId="6F589816" w:rsidR="0047615A" w:rsidRDefault="002607A1" w:rsidP="002607A1">
      <w:pPr>
        <w:pStyle w:val="En-ttedetabledesmatires"/>
        <w:spacing w:before="0" w:after="0" w:line="240" w:lineRule="auto"/>
        <w:jc w:val="both"/>
        <w:rPr>
          <w:rFonts w:eastAsiaTheme="minorEastAsia" w:cstheme="minorBidi"/>
          <w:b w:val="0"/>
          <w:bCs w:val="0"/>
          <w:i/>
          <w:iCs/>
          <w:color w:val="000000" w:themeColor="text1"/>
          <w:sz w:val="22"/>
          <w:szCs w:val="22"/>
        </w:rPr>
      </w:pPr>
      <w:r w:rsidRPr="002607A1">
        <w:rPr>
          <w:rFonts w:eastAsiaTheme="minorEastAsia" w:cstheme="minorBidi"/>
          <w:b w:val="0"/>
          <w:bCs w:val="0"/>
          <w:i/>
          <w:iCs/>
          <w:color w:val="000000" w:themeColor="text1"/>
          <w:sz w:val="22"/>
          <w:szCs w:val="22"/>
        </w:rPr>
        <w:t>N.B 3 : Les informations données dans ces fiches pour les programmes LIFE et UIA portent sur le programme 2014-2020, les informations pour le programme 2021-2027 n’étant pas encore connues. Les informations données pour le programme Horizon Europe ne porte</w:t>
      </w:r>
      <w:r w:rsidR="007441B5">
        <w:rPr>
          <w:rFonts w:eastAsiaTheme="minorEastAsia" w:cstheme="minorBidi"/>
          <w:b w:val="0"/>
          <w:bCs w:val="0"/>
          <w:i/>
          <w:iCs/>
          <w:color w:val="000000" w:themeColor="text1"/>
          <w:sz w:val="22"/>
          <w:szCs w:val="22"/>
        </w:rPr>
        <w:t>nt</w:t>
      </w:r>
      <w:r w:rsidRPr="002607A1">
        <w:rPr>
          <w:rFonts w:eastAsiaTheme="minorEastAsia" w:cstheme="minorBidi"/>
          <w:b w:val="0"/>
          <w:bCs w:val="0"/>
          <w:i/>
          <w:iCs/>
          <w:color w:val="000000" w:themeColor="text1"/>
          <w:sz w:val="22"/>
          <w:szCs w:val="22"/>
        </w:rPr>
        <w:t xml:space="preserve"> que sur le programme de travail actuel, à savoir le programme de travail 2021-2022 (les priorités et sujets de projets présentés ici pourraient donc être amenés à évoluer). Concernant les informations sur les programmes INTERREG et MIE celles-ci proviennent de premiers documents provisoires, il conviendra donc de vérifier ces informations une fois les Programmes opérationnels et règlements définitifs adoptés.</w:t>
      </w:r>
    </w:p>
    <w:sdt>
      <w:sdtPr>
        <w:rPr>
          <w:rFonts w:eastAsiaTheme="minorEastAsia" w:cstheme="minorBidi"/>
          <w:b w:val="0"/>
          <w:bCs w:val="0"/>
          <w:color w:val="auto"/>
          <w:sz w:val="22"/>
          <w:szCs w:val="22"/>
        </w:rPr>
        <w:id w:val="-341623187"/>
        <w:docPartObj>
          <w:docPartGallery w:val="Table of Contents"/>
          <w:docPartUnique/>
        </w:docPartObj>
      </w:sdtPr>
      <w:sdtEndPr/>
      <w:sdtContent>
        <w:p w14:paraId="2DDE044F" w14:textId="6FDECAFF" w:rsidR="00AF01BC" w:rsidRPr="00375E8F" w:rsidRDefault="00AF01BC">
          <w:pPr>
            <w:pStyle w:val="En-ttedetabledesmatires"/>
            <w:rPr>
              <w:color w:val="5F497A" w:themeColor="accent4" w:themeShade="BF"/>
            </w:rPr>
          </w:pPr>
          <w:r w:rsidRPr="00375E8F">
            <w:rPr>
              <w:color w:val="5F497A" w:themeColor="accent4" w:themeShade="BF"/>
            </w:rPr>
            <w:t>Table des matières</w:t>
          </w:r>
        </w:p>
        <w:p w14:paraId="27027E27" w14:textId="38FA7FDC" w:rsidR="00FC6BC2" w:rsidRPr="00FC6BC2" w:rsidRDefault="00AF01BC">
          <w:pPr>
            <w:pStyle w:val="TM1"/>
            <w:tabs>
              <w:tab w:val="right" w:leader="dot" w:pos="9771"/>
            </w:tabs>
            <w:rPr>
              <w:rFonts w:asciiTheme="majorHAnsi" w:hAnsiTheme="majorHAnsi" w:cstheme="majorHAnsi"/>
              <w:b w:val="0"/>
              <w:bCs w:val="0"/>
              <w:i w:val="0"/>
              <w:iCs w:val="0"/>
              <w:noProof/>
              <w:sz w:val="22"/>
              <w:szCs w:val="22"/>
            </w:rPr>
          </w:pPr>
          <w:r w:rsidRPr="00FC6BC2">
            <w:rPr>
              <w:rFonts w:asciiTheme="majorHAnsi" w:hAnsiTheme="majorHAnsi" w:cstheme="majorHAnsi"/>
              <w:b w:val="0"/>
              <w:bCs w:val="0"/>
              <w:i w:val="0"/>
              <w:iCs w:val="0"/>
              <w:sz w:val="22"/>
              <w:szCs w:val="22"/>
            </w:rPr>
            <w:fldChar w:fldCharType="begin"/>
          </w:r>
          <w:r w:rsidRPr="00FC6BC2">
            <w:rPr>
              <w:rFonts w:asciiTheme="majorHAnsi" w:hAnsiTheme="majorHAnsi" w:cstheme="majorHAnsi"/>
              <w:b w:val="0"/>
              <w:bCs w:val="0"/>
              <w:i w:val="0"/>
              <w:iCs w:val="0"/>
              <w:sz w:val="22"/>
              <w:szCs w:val="22"/>
            </w:rPr>
            <w:instrText xml:space="preserve"> TOC \o "1-3" \h \z \u </w:instrText>
          </w:r>
          <w:r w:rsidRPr="00FC6BC2">
            <w:rPr>
              <w:rFonts w:asciiTheme="majorHAnsi" w:hAnsiTheme="majorHAnsi" w:cstheme="majorHAnsi"/>
              <w:b w:val="0"/>
              <w:bCs w:val="0"/>
              <w:i w:val="0"/>
              <w:iCs w:val="0"/>
              <w:sz w:val="22"/>
              <w:szCs w:val="22"/>
            </w:rPr>
            <w:fldChar w:fldCharType="separate"/>
          </w:r>
          <w:hyperlink w:anchor="_Toc75420382" w:history="1">
            <w:r w:rsidR="00FC6BC2" w:rsidRPr="00FC6BC2">
              <w:rPr>
                <w:rStyle w:val="Lienhypertexte"/>
                <w:rFonts w:asciiTheme="majorHAnsi" w:hAnsiTheme="majorHAnsi" w:cstheme="majorHAnsi"/>
                <w:b w:val="0"/>
                <w:bCs w:val="0"/>
                <w:i w:val="0"/>
                <w:iCs w:val="0"/>
                <w:noProof/>
                <w:sz w:val="22"/>
                <w:szCs w:val="22"/>
              </w:rPr>
              <w:t>Déploiement des infrastructures : écosystèmes énergétiques territoriaux, systèmes de stockage, réseaux, unités de production d’énergie</w:t>
            </w:r>
            <w:r w:rsidR="00FC6BC2" w:rsidRPr="00FC6BC2">
              <w:rPr>
                <w:rFonts w:asciiTheme="majorHAnsi" w:hAnsiTheme="majorHAnsi" w:cstheme="majorHAnsi"/>
                <w:b w:val="0"/>
                <w:bCs w:val="0"/>
                <w:i w:val="0"/>
                <w:iCs w:val="0"/>
                <w:noProof/>
                <w:webHidden/>
                <w:sz w:val="22"/>
                <w:szCs w:val="22"/>
              </w:rPr>
              <w:tab/>
            </w:r>
            <w:r w:rsidR="00FC6BC2" w:rsidRPr="00FC6BC2">
              <w:rPr>
                <w:rFonts w:asciiTheme="majorHAnsi" w:hAnsiTheme="majorHAnsi" w:cstheme="majorHAnsi"/>
                <w:b w:val="0"/>
                <w:bCs w:val="0"/>
                <w:i w:val="0"/>
                <w:iCs w:val="0"/>
                <w:noProof/>
                <w:webHidden/>
                <w:sz w:val="22"/>
                <w:szCs w:val="22"/>
              </w:rPr>
              <w:fldChar w:fldCharType="begin"/>
            </w:r>
            <w:r w:rsidR="00FC6BC2" w:rsidRPr="00FC6BC2">
              <w:rPr>
                <w:rFonts w:asciiTheme="majorHAnsi" w:hAnsiTheme="majorHAnsi" w:cstheme="majorHAnsi"/>
                <w:b w:val="0"/>
                <w:bCs w:val="0"/>
                <w:i w:val="0"/>
                <w:iCs w:val="0"/>
                <w:noProof/>
                <w:webHidden/>
                <w:sz w:val="22"/>
                <w:szCs w:val="22"/>
              </w:rPr>
              <w:instrText xml:space="preserve"> PAGEREF _Toc75420382 \h </w:instrText>
            </w:r>
            <w:r w:rsidR="00FC6BC2" w:rsidRPr="00FC6BC2">
              <w:rPr>
                <w:rFonts w:asciiTheme="majorHAnsi" w:hAnsiTheme="majorHAnsi" w:cstheme="majorHAnsi"/>
                <w:b w:val="0"/>
                <w:bCs w:val="0"/>
                <w:i w:val="0"/>
                <w:iCs w:val="0"/>
                <w:noProof/>
                <w:webHidden/>
                <w:sz w:val="22"/>
                <w:szCs w:val="22"/>
              </w:rPr>
            </w:r>
            <w:r w:rsidR="00FC6BC2" w:rsidRPr="00FC6BC2">
              <w:rPr>
                <w:rFonts w:asciiTheme="majorHAnsi" w:hAnsiTheme="majorHAnsi" w:cstheme="majorHAnsi"/>
                <w:b w:val="0"/>
                <w:bCs w:val="0"/>
                <w:i w:val="0"/>
                <w:iCs w:val="0"/>
                <w:noProof/>
                <w:webHidden/>
                <w:sz w:val="22"/>
                <w:szCs w:val="22"/>
              </w:rPr>
              <w:fldChar w:fldCharType="separate"/>
            </w:r>
            <w:r w:rsidR="00FC6BC2" w:rsidRPr="00FC6BC2">
              <w:rPr>
                <w:rFonts w:asciiTheme="majorHAnsi" w:hAnsiTheme="majorHAnsi" w:cstheme="majorHAnsi"/>
                <w:b w:val="0"/>
                <w:bCs w:val="0"/>
                <w:i w:val="0"/>
                <w:iCs w:val="0"/>
                <w:noProof/>
                <w:webHidden/>
                <w:sz w:val="22"/>
                <w:szCs w:val="22"/>
              </w:rPr>
              <w:t>2</w:t>
            </w:r>
            <w:r w:rsidR="00FC6BC2" w:rsidRPr="00FC6BC2">
              <w:rPr>
                <w:rFonts w:asciiTheme="majorHAnsi" w:hAnsiTheme="majorHAnsi" w:cstheme="majorHAnsi"/>
                <w:b w:val="0"/>
                <w:bCs w:val="0"/>
                <w:i w:val="0"/>
                <w:iCs w:val="0"/>
                <w:noProof/>
                <w:webHidden/>
                <w:sz w:val="22"/>
                <w:szCs w:val="22"/>
              </w:rPr>
              <w:fldChar w:fldCharType="end"/>
            </w:r>
          </w:hyperlink>
        </w:p>
        <w:p w14:paraId="25AE5757" w14:textId="0A91E319" w:rsidR="00FC6BC2" w:rsidRPr="00FC6BC2" w:rsidRDefault="008E70AE">
          <w:pPr>
            <w:pStyle w:val="TM1"/>
            <w:tabs>
              <w:tab w:val="right" w:leader="dot" w:pos="9771"/>
            </w:tabs>
            <w:rPr>
              <w:rFonts w:asciiTheme="majorHAnsi" w:hAnsiTheme="majorHAnsi" w:cstheme="majorHAnsi"/>
              <w:b w:val="0"/>
              <w:bCs w:val="0"/>
              <w:i w:val="0"/>
              <w:iCs w:val="0"/>
              <w:noProof/>
              <w:sz w:val="22"/>
              <w:szCs w:val="22"/>
            </w:rPr>
          </w:pPr>
          <w:hyperlink w:anchor="_Toc75420383" w:history="1">
            <w:r w:rsidR="00FC6BC2" w:rsidRPr="00FC6BC2">
              <w:rPr>
                <w:rStyle w:val="Lienhypertexte"/>
                <w:rFonts w:asciiTheme="majorHAnsi" w:hAnsiTheme="majorHAnsi" w:cstheme="majorHAnsi"/>
                <w:b w:val="0"/>
                <w:bCs w:val="0"/>
                <w:i w:val="0"/>
                <w:iCs w:val="0"/>
                <w:noProof/>
                <w:sz w:val="22"/>
                <w:szCs w:val="22"/>
              </w:rPr>
              <w:t>Projets de territoire et projets d’énergie renouvelable citoyens</w:t>
            </w:r>
            <w:r w:rsidR="00FC6BC2" w:rsidRPr="00FC6BC2">
              <w:rPr>
                <w:rFonts w:asciiTheme="majorHAnsi" w:hAnsiTheme="majorHAnsi" w:cstheme="majorHAnsi"/>
                <w:b w:val="0"/>
                <w:bCs w:val="0"/>
                <w:i w:val="0"/>
                <w:iCs w:val="0"/>
                <w:noProof/>
                <w:webHidden/>
                <w:sz w:val="22"/>
                <w:szCs w:val="22"/>
              </w:rPr>
              <w:tab/>
            </w:r>
            <w:r w:rsidR="00FC6BC2" w:rsidRPr="00FC6BC2">
              <w:rPr>
                <w:rFonts w:asciiTheme="majorHAnsi" w:hAnsiTheme="majorHAnsi" w:cstheme="majorHAnsi"/>
                <w:b w:val="0"/>
                <w:bCs w:val="0"/>
                <w:i w:val="0"/>
                <w:iCs w:val="0"/>
                <w:noProof/>
                <w:webHidden/>
                <w:sz w:val="22"/>
                <w:szCs w:val="22"/>
              </w:rPr>
              <w:fldChar w:fldCharType="begin"/>
            </w:r>
            <w:r w:rsidR="00FC6BC2" w:rsidRPr="00FC6BC2">
              <w:rPr>
                <w:rFonts w:asciiTheme="majorHAnsi" w:hAnsiTheme="majorHAnsi" w:cstheme="majorHAnsi"/>
                <w:b w:val="0"/>
                <w:bCs w:val="0"/>
                <w:i w:val="0"/>
                <w:iCs w:val="0"/>
                <w:noProof/>
                <w:webHidden/>
                <w:sz w:val="22"/>
                <w:szCs w:val="22"/>
              </w:rPr>
              <w:instrText xml:space="preserve"> PAGEREF _Toc75420383 \h </w:instrText>
            </w:r>
            <w:r w:rsidR="00FC6BC2" w:rsidRPr="00FC6BC2">
              <w:rPr>
                <w:rFonts w:asciiTheme="majorHAnsi" w:hAnsiTheme="majorHAnsi" w:cstheme="majorHAnsi"/>
                <w:b w:val="0"/>
                <w:bCs w:val="0"/>
                <w:i w:val="0"/>
                <w:iCs w:val="0"/>
                <w:noProof/>
                <w:webHidden/>
                <w:sz w:val="22"/>
                <w:szCs w:val="22"/>
              </w:rPr>
            </w:r>
            <w:r w:rsidR="00FC6BC2" w:rsidRPr="00FC6BC2">
              <w:rPr>
                <w:rFonts w:asciiTheme="majorHAnsi" w:hAnsiTheme="majorHAnsi" w:cstheme="majorHAnsi"/>
                <w:b w:val="0"/>
                <w:bCs w:val="0"/>
                <w:i w:val="0"/>
                <w:iCs w:val="0"/>
                <w:noProof/>
                <w:webHidden/>
                <w:sz w:val="22"/>
                <w:szCs w:val="22"/>
              </w:rPr>
              <w:fldChar w:fldCharType="separate"/>
            </w:r>
            <w:r w:rsidR="00FC6BC2" w:rsidRPr="00FC6BC2">
              <w:rPr>
                <w:rFonts w:asciiTheme="majorHAnsi" w:hAnsiTheme="majorHAnsi" w:cstheme="majorHAnsi"/>
                <w:b w:val="0"/>
                <w:bCs w:val="0"/>
                <w:i w:val="0"/>
                <w:iCs w:val="0"/>
                <w:noProof/>
                <w:webHidden/>
                <w:sz w:val="22"/>
                <w:szCs w:val="22"/>
              </w:rPr>
              <w:t>3</w:t>
            </w:r>
            <w:r w:rsidR="00FC6BC2" w:rsidRPr="00FC6BC2">
              <w:rPr>
                <w:rFonts w:asciiTheme="majorHAnsi" w:hAnsiTheme="majorHAnsi" w:cstheme="majorHAnsi"/>
                <w:b w:val="0"/>
                <w:bCs w:val="0"/>
                <w:i w:val="0"/>
                <w:iCs w:val="0"/>
                <w:noProof/>
                <w:webHidden/>
                <w:sz w:val="22"/>
                <w:szCs w:val="22"/>
              </w:rPr>
              <w:fldChar w:fldCharType="end"/>
            </w:r>
          </w:hyperlink>
        </w:p>
        <w:p w14:paraId="2C596EC9" w14:textId="05BC757E" w:rsidR="00FC6BC2" w:rsidRPr="00FC6BC2" w:rsidRDefault="008E70AE">
          <w:pPr>
            <w:pStyle w:val="TM1"/>
            <w:tabs>
              <w:tab w:val="right" w:leader="dot" w:pos="9771"/>
            </w:tabs>
            <w:rPr>
              <w:rFonts w:asciiTheme="majorHAnsi" w:hAnsiTheme="majorHAnsi" w:cstheme="majorHAnsi"/>
              <w:b w:val="0"/>
              <w:bCs w:val="0"/>
              <w:i w:val="0"/>
              <w:iCs w:val="0"/>
              <w:noProof/>
              <w:sz w:val="22"/>
              <w:szCs w:val="22"/>
            </w:rPr>
          </w:pPr>
          <w:hyperlink w:anchor="_Toc75420384" w:history="1">
            <w:r w:rsidR="00FC6BC2" w:rsidRPr="00FC6BC2">
              <w:rPr>
                <w:rStyle w:val="Lienhypertexte"/>
                <w:rFonts w:asciiTheme="majorHAnsi" w:hAnsiTheme="majorHAnsi" w:cstheme="majorHAnsi"/>
                <w:b w:val="0"/>
                <w:bCs w:val="0"/>
                <w:i w:val="0"/>
                <w:iCs w:val="0"/>
                <w:noProof/>
                <w:sz w:val="22"/>
                <w:szCs w:val="22"/>
              </w:rPr>
              <w:t>Montée en compétences - Sensibilisation</w:t>
            </w:r>
            <w:r w:rsidR="00FC6BC2" w:rsidRPr="00FC6BC2">
              <w:rPr>
                <w:rFonts w:asciiTheme="majorHAnsi" w:hAnsiTheme="majorHAnsi" w:cstheme="majorHAnsi"/>
                <w:b w:val="0"/>
                <w:bCs w:val="0"/>
                <w:i w:val="0"/>
                <w:iCs w:val="0"/>
                <w:noProof/>
                <w:webHidden/>
                <w:sz w:val="22"/>
                <w:szCs w:val="22"/>
              </w:rPr>
              <w:tab/>
            </w:r>
            <w:r w:rsidR="00FC6BC2" w:rsidRPr="00FC6BC2">
              <w:rPr>
                <w:rFonts w:asciiTheme="majorHAnsi" w:hAnsiTheme="majorHAnsi" w:cstheme="majorHAnsi"/>
                <w:b w:val="0"/>
                <w:bCs w:val="0"/>
                <w:i w:val="0"/>
                <w:iCs w:val="0"/>
                <w:noProof/>
                <w:webHidden/>
                <w:sz w:val="22"/>
                <w:szCs w:val="22"/>
              </w:rPr>
              <w:fldChar w:fldCharType="begin"/>
            </w:r>
            <w:r w:rsidR="00FC6BC2" w:rsidRPr="00FC6BC2">
              <w:rPr>
                <w:rFonts w:asciiTheme="majorHAnsi" w:hAnsiTheme="majorHAnsi" w:cstheme="majorHAnsi"/>
                <w:b w:val="0"/>
                <w:bCs w:val="0"/>
                <w:i w:val="0"/>
                <w:iCs w:val="0"/>
                <w:noProof/>
                <w:webHidden/>
                <w:sz w:val="22"/>
                <w:szCs w:val="22"/>
              </w:rPr>
              <w:instrText xml:space="preserve"> PAGEREF _Toc75420384 \h </w:instrText>
            </w:r>
            <w:r w:rsidR="00FC6BC2" w:rsidRPr="00FC6BC2">
              <w:rPr>
                <w:rFonts w:asciiTheme="majorHAnsi" w:hAnsiTheme="majorHAnsi" w:cstheme="majorHAnsi"/>
                <w:b w:val="0"/>
                <w:bCs w:val="0"/>
                <w:i w:val="0"/>
                <w:iCs w:val="0"/>
                <w:noProof/>
                <w:webHidden/>
                <w:sz w:val="22"/>
                <w:szCs w:val="22"/>
              </w:rPr>
            </w:r>
            <w:r w:rsidR="00FC6BC2" w:rsidRPr="00FC6BC2">
              <w:rPr>
                <w:rFonts w:asciiTheme="majorHAnsi" w:hAnsiTheme="majorHAnsi" w:cstheme="majorHAnsi"/>
                <w:b w:val="0"/>
                <w:bCs w:val="0"/>
                <w:i w:val="0"/>
                <w:iCs w:val="0"/>
                <w:noProof/>
                <w:webHidden/>
                <w:sz w:val="22"/>
                <w:szCs w:val="22"/>
              </w:rPr>
              <w:fldChar w:fldCharType="separate"/>
            </w:r>
            <w:r w:rsidR="00FC6BC2" w:rsidRPr="00FC6BC2">
              <w:rPr>
                <w:rFonts w:asciiTheme="majorHAnsi" w:hAnsiTheme="majorHAnsi" w:cstheme="majorHAnsi"/>
                <w:b w:val="0"/>
                <w:bCs w:val="0"/>
                <w:i w:val="0"/>
                <w:iCs w:val="0"/>
                <w:noProof/>
                <w:webHidden/>
                <w:sz w:val="22"/>
                <w:szCs w:val="22"/>
              </w:rPr>
              <w:t>4</w:t>
            </w:r>
            <w:r w:rsidR="00FC6BC2" w:rsidRPr="00FC6BC2">
              <w:rPr>
                <w:rFonts w:asciiTheme="majorHAnsi" w:hAnsiTheme="majorHAnsi" w:cstheme="majorHAnsi"/>
                <w:b w:val="0"/>
                <w:bCs w:val="0"/>
                <w:i w:val="0"/>
                <w:iCs w:val="0"/>
                <w:noProof/>
                <w:webHidden/>
                <w:sz w:val="22"/>
                <w:szCs w:val="22"/>
              </w:rPr>
              <w:fldChar w:fldCharType="end"/>
            </w:r>
          </w:hyperlink>
        </w:p>
        <w:p w14:paraId="7DFBE81D" w14:textId="34F6F44E" w:rsidR="00FC6BC2" w:rsidRPr="00FC6BC2" w:rsidRDefault="008E70AE">
          <w:pPr>
            <w:pStyle w:val="TM1"/>
            <w:tabs>
              <w:tab w:val="right" w:leader="dot" w:pos="9771"/>
            </w:tabs>
            <w:rPr>
              <w:rFonts w:asciiTheme="majorHAnsi" w:hAnsiTheme="majorHAnsi" w:cstheme="majorHAnsi"/>
              <w:b w:val="0"/>
              <w:bCs w:val="0"/>
              <w:i w:val="0"/>
              <w:iCs w:val="0"/>
              <w:noProof/>
              <w:sz w:val="22"/>
              <w:szCs w:val="22"/>
            </w:rPr>
          </w:pPr>
          <w:hyperlink w:anchor="_Toc75420385" w:history="1">
            <w:r w:rsidR="00FC6BC2" w:rsidRPr="00FC6BC2">
              <w:rPr>
                <w:rStyle w:val="Lienhypertexte"/>
                <w:rFonts w:asciiTheme="majorHAnsi" w:hAnsiTheme="majorHAnsi" w:cstheme="majorHAnsi"/>
                <w:b w:val="0"/>
                <w:bCs w:val="0"/>
                <w:i w:val="0"/>
                <w:iCs w:val="0"/>
                <w:noProof/>
                <w:sz w:val="22"/>
                <w:szCs w:val="22"/>
              </w:rPr>
              <w:t>Réseaux transnationaux énergétiques</w:t>
            </w:r>
            <w:r w:rsidR="00FC6BC2" w:rsidRPr="00FC6BC2">
              <w:rPr>
                <w:rFonts w:asciiTheme="majorHAnsi" w:hAnsiTheme="majorHAnsi" w:cstheme="majorHAnsi"/>
                <w:b w:val="0"/>
                <w:bCs w:val="0"/>
                <w:i w:val="0"/>
                <w:iCs w:val="0"/>
                <w:noProof/>
                <w:webHidden/>
                <w:sz w:val="22"/>
                <w:szCs w:val="22"/>
              </w:rPr>
              <w:tab/>
            </w:r>
            <w:r w:rsidR="00FC6BC2" w:rsidRPr="00FC6BC2">
              <w:rPr>
                <w:rFonts w:asciiTheme="majorHAnsi" w:hAnsiTheme="majorHAnsi" w:cstheme="majorHAnsi"/>
                <w:b w:val="0"/>
                <w:bCs w:val="0"/>
                <w:i w:val="0"/>
                <w:iCs w:val="0"/>
                <w:noProof/>
                <w:webHidden/>
                <w:sz w:val="22"/>
                <w:szCs w:val="22"/>
              </w:rPr>
              <w:fldChar w:fldCharType="begin"/>
            </w:r>
            <w:r w:rsidR="00FC6BC2" w:rsidRPr="00FC6BC2">
              <w:rPr>
                <w:rFonts w:asciiTheme="majorHAnsi" w:hAnsiTheme="majorHAnsi" w:cstheme="majorHAnsi"/>
                <w:b w:val="0"/>
                <w:bCs w:val="0"/>
                <w:i w:val="0"/>
                <w:iCs w:val="0"/>
                <w:noProof/>
                <w:webHidden/>
                <w:sz w:val="22"/>
                <w:szCs w:val="22"/>
              </w:rPr>
              <w:instrText xml:space="preserve"> PAGEREF _Toc75420385 \h </w:instrText>
            </w:r>
            <w:r w:rsidR="00FC6BC2" w:rsidRPr="00FC6BC2">
              <w:rPr>
                <w:rFonts w:asciiTheme="majorHAnsi" w:hAnsiTheme="majorHAnsi" w:cstheme="majorHAnsi"/>
                <w:b w:val="0"/>
                <w:bCs w:val="0"/>
                <w:i w:val="0"/>
                <w:iCs w:val="0"/>
                <w:noProof/>
                <w:webHidden/>
                <w:sz w:val="22"/>
                <w:szCs w:val="22"/>
              </w:rPr>
            </w:r>
            <w:r w:rsidR="00FC6BC2" w:rsidRPr="00FC6BC2">
              <w:rPr>
                <w:rFonts w:asciiTheme="majorHAnsi" w:hAnsiTheme="majorHAnsi" w:cstheme="majorHAnsi"/>
                <w:b w:val="0"/>
                <w:bCs w:val="0"/>
                <w:i w:val="0"/>
                <w:iCs w:val="0"/>
                <w:noProof/>
                <w:webHidden/>
                <w:sz w:val="22"/>
                <w:szCs w:val="22"/>
              </w:rPr>
              <w:fldChar w:fldCharType="separate"/>
            </w:r>
            <w:r w:rsidR="00FC6BC2" w:rsidRPr="00FC6BC2">
              <w:rPr>
                <w:rFonts w:asciiTheme="majorHAnsi" w:hAnsiTheme="majorHAnsi" w:cstheme="majorHAnsi"/>
                <w:b w:val="0"/>
                <w:bCs w:val="0"/>
                <w:i w:val="0"/>
                <w:iCs w:val="0"/>
                <w:noProof/>
                <w:webHidden/>
                <w:sz w:val="22"/>
                <w:szCs w:val="22"/>
              </w:rPr>
              <w:t>5</w:t>
            </w:r>
            <w:r w:rsidR="00FC6BC2" w:rsidRPr="00FC6BC2">
              <w:rPr>
                <w:rFonts w:asciiTheme="majorHAnsi" w:hAnsiTheme="majorHAnsi" w:cstheme="majorHAnsi"/>
                <w:b w:val="0"/>
                <w:bCs w:val="0"/>
                <w:i w:val="0"/>
                <w:iCs w:val="0"/>
                <w:noProof/>
                <w:webHidden/>
                <w:sz w:val="22"/>
                <w:szCs w:val="22"/>
              </w:rPr>
              <w:fldChar w:fldCharType="end"/>
            </w:r>
          </w:hyperlink>
        </w:p>
        <w:p w14:paraId="44048B3C" w14:textId="45061AE3" w:rsidR="00FC6BC2" w:rsidRPr="00FC6BC2" w:rsidRDefault="008E70AE">
          <w:pPr>
            <w:pStyle w:val="TM1"/>
            <w:tabs>
              <w:tab w:val="right" w:leader="dot" w:pos="9771"/>
            </w:tabs>
            <w:rPr>
              <w:rFonts w:asciiTheme="majorHAnsi" w:hAnsiTheme="majorHAnsi" w:cstheme="majorHAnsi"/>
              <w:b w:val="0"/>
              <w:bCs w:val="0"/>
              <w:i w:val="0"/>
              <w:iCs w:val="0"/>
              <w:noProof/>
              <w:sz w:val="22"/>
              <w:szCs w:val="22"/>
            </w:rPr>
          </w:pPr>
          <w:hyperlink w:anchor="_Toc75420386" w:history="1">
            <w:r w:rsidR="00FC6BC2" w:rsidRPr="00FC6BC2">
              <w:rPr>
                <w:rStyle w:val="Lienhypertexte"/>
                <w:rFonts w:asciiTheme="majorHAnsi" w:hAnsiTheme="majorHAnsi" w:cstheme="majorHAnsi"/>
                <w:b w:val="0"/>
                <w:bCs w:val="0"/>
                <w:i w:val="0"/>
                <w:iCs w:val="0"/>
                <w:noProof/>
                <w:sz w:val="22"/>
                <w:szCs w:val="22"/>
              </w:rPr>
              <w:t>Projets de recherche et d’innovation</w:t>
            </w:r>
            <w:r w:rsidR="00FC6BC2" w:rsidRPr="00FC6BC2">
              <w:rPr>
                <w:rFonts w:asciiTheme="majorHAnsi" w:hAnsiTheme="majorHAnsi" w:cstheme="majorHAnsi"/>
                <w:b w:val="0"/>
                <w:bCs w:val="0"/>
                <w:i w:val="0"/>
                <w:iCs w:val="0"/>
                <w:noProof/>
                <w:webHidden/>
                <w:sz w:val="22"/>
                <w:szCs w:val="22"/>
              </w:rPr>
              <w:tab/>
            </w:r>
            <w:r w:rsidR="00FC6BC2" w:rsidRPr="00FC6BC2">
              <w:rPr>
                <w:rFonts w:asciiTheme="majorHAnsi" w:hAnsiTheme="majorHAnsi" w:cstheme="majorHAnsi"/>
                <w:b w:val="0"/>
                <w:bCs w:val="0"/>
                <w:i w:val="0"/>
                <w:iCs w:val="0"/>
                <w:noProof/>
                <w:webHidden/>
                <w:sz w:val="22"/>
                <w:szCs w:val="22"/>
              </w:rPr>
              <w:fldChar w:fldCharType="begin"/>
            </w:r>
            <w:r w:rsidR="00FC6BC2" w:rsidRPr="00FC6BC2">
              <w:rPr>
                <w:rFonts w:asciiTheme="majorHAnsi" w:hAnsiTheme="majorHAnsi" w:cstheme="majorHAnsi"/>
                <w:b w:val="0"/>
                <w:bCs w:val="0"/>
                <w:i w:val="0"/>
                <w:iCs w:val="0"/>
                <w:noProof/>
                <w:webHidden/>
                <w:sz w:val="22"/>
                <w:szCs w:val="22"/>
              </w:rPr>
              <w:instrText xml:space="preserve"> PAGEREF _Toc75420386 \h </w:instrText>
            </w:r>
            <w:r w:rsidR="00FC6BC2" w:rsidRPr="00FC6BC2">
              <w:rPr>
                <w:rFonts w:asciiTheme="majorHAnsi" w:hAnsiTheme="majorHAnsi" w:cstheme="majorHAnsi"/>
                <w:b w:val="0"/>
                <w:bCs w:val="0"/>
                <w:i w:val="0"/>
                <w:iCs w:val="0"/>
                <w:noProof/>
                <w:webHidden/>
                <w:sz w:val="22"/>
                <w:szCs w:val="22"/>
              </w:rPr>
            </w:r>
            <w:r w:rsidR="00FC6BC2" w:rsidRPr="00FC6BC2">
              <w:rPr>
                <w:rFonts w:asciiTheme="majorHAnsi" w:hAnsiTheme="majorHAnsi" w:cstheme="majorHAnsi"/>
                <w:b w:val="0"/>
                <w:bCs w:val="0"/>
                <w:i w:val="0"/>
                <w:iCs w:val="0"/>
                <w:noProof/>
                <w:webHidden/>
                <w:sz w:val="22"/>
                <w:szCs w:val="22"/>
              </w:rPr>
              <w:fldChar w:fldCharType="separate"/>
            </w:r>
            <w:r w:rsidR="00FC6BC2" w:rsidRPr="00FC6BC2">
              <w:rPr>
                <w:rFonts w:asciiTheme="majorHAnsi" w:hAnsiTheme="majorHAnsi" w:cstheme="majorHAnsi"/>
                <w:b w:val="0"/>
                <w:bCs w:val="0"/>
                <w:i w:val="0"/>
                <w:iCs w:val="0"/>
                <w:noProof/>
                <w:webHidden/>
                <w:sz w:val="22"/>
                <w:szCs w:val="22"/>
              </w:rPr>
              <w:t>6</w:t>
            </w:r>
            <w:r w:rsidR="00FC6BC2" w:rsidRPr="00FC6BC2">
              <w:rPr>
                <w:rFonts w:asciiTheme="majorHAnsi" w:hAnsiTheme="majorHAnsi" w:cstheme="majorHAnsi"/>
                <w:b w:val="0"/>
                <w:bCs w:val="0"/>
                <w:i w:val="0"/>
                <w:iCs w:val="0"/>
                <w:noProof/>
                <w:webHidden/>
                <w:sz w:val="22"/>
                <w:szCs w:val="22"/>
              </w:rPr>
              <w:fldChar w:fldCharType="end"/>
            </w:r>
          </w:hyperlink>
        </w:p>
        <w:p w14:paraId="7D5E4972" w14:textId="213C48AE" w:rsidR="00FC6BC2" w:rsidRPr="00FC6BC2" w:rsidRDefault="008E70AE">
          <w:pPr>
            <w:pStyle w:val="TM1"/>
            <w:tabs>
              <w:tab w:val="right" w:leader="dot" w:pos="9771"/>
            </w:tabs>
            <w:rPr>
              <w:b w:val="0"/>
              <w:bCs w:val="0"/>
              <w:i w:val="0"/>
              <w:iCs w:val="0"/>
              <w:noProof/>
              <w:sz w:val="22"/>
              <w:szCs w:val="22"/>
            </w:rPr>
          </w:pPr>
          <w:hyperlink w:anchor="_Toc75420387" w:history="1">
            <w:r w:rsidR="00FC6BC2" w:rsidRPr="00FC6BC2">
              <w:rPr>
                <w:rStyle w:val="Lienhypertexte"/>
                <w:rFonts w:asciiTheme="majorHAnsi" w:hAnsiTheme="majorHAnsi" w:cstheme="majorHAnsi"/>
                <w:b w:val="0"/>
                <w:bCs w:val="0"/>
                <w:i w:val="0"/>
                <w:iCs w:val="0"/>
                <w:noProof/>
                <w:sz w:val="22"/>
                <w:szCs w:val="22"/>
              </w:rPr>
              <w:t>A savoir</w:t>
            </w:r>
            <w:r w:rsidR="00FC6BC2" w:rsidRPr="00FC6BC2">
              <w:rPr>
                <w:rFonts w:asciiTheme="majorHAnsi" w:hAnsiTheme="majorHAnsi" w:cstheme="majorHAnsi"/>
                <w:b w:val="0"/>
                <w:bCs w:val="0"/>
                <w:i w:val="0"/>
                <w:iCs w:val="0"/>
                <w:noProof/>
                <w:webHidden/>
                <w:sz w:val="22"/>
                <w:szCs w:val="22"/>
              </w:rPr>
              <w:tab/>
            </w:r>
            <w:r w:rsidR="00FC6BC2" w:rsidRPr="00FC6BC2">
              <w:rPr>
                <w:rFonts w:asciiTheme="majorHAnsi" w:hAnsiTheme="majorHAnsi" w:cstheme="majorHAnsi"/>
                <w:b w:val="0"/>
                <w:bCs w:val="0"/>
                <w:i w:val="0"/>
                <w:iCs w:val="0"/>
                <w:noProof/>
                <w:webHidden/>
                <w:sz w:val="22"/>
                <w:szCs w:val="22"/>
              </w:rPr>
              <w:fldChar w:fldCharType="begin"/>
            </w:r>
            <w:r w:rsidR="00FC6BC2" w:rsidRPr="00FC6BC2">
              <w:rPr>
                <w:rFonts w:asciiTheme="majorHAnsi" w:hAnsiTheme="majorHAnsi" w:cstheme="majorHAnsi"/>
                <w:b w:val="0"/>
                <w:bCs w:val="0"/>
                <w:i w:val="0"/>
                <w:iCs w:val="0"/>
                <w:noProof/>
                <w:webHidden/>
                <w:sz w:val="22"/>
                <w:szCs w:val="22"/>
              </w:rPr>
              <w:instrText xml:space="preserve"> PAGEREF _Toc75420387 \h </w:instrText>
            </w:r>
            <w:r w:rsidR="00FC6BC2" w:rsidRPr="00FC6BC2">
              <w:rPr>
                <w:rFonts w:asciiTheme="majorHAnsi" w:hAnsiTheme="majorHAnsi" w:cstheme="majorHAnsi"/>
                <w:b w:val="0"/>
                <w:bCs w:val="0"/>
                <w:i w:val="0"/>
                <w:iCs w:val="0"/>
                <w:noProof/>
                <w:webHidden/>
                <w:sz w:val="22"/>
                <w:szCs w:val="22"/>
              </w:rPr>
            </w:r>
            <w:r w:rsidR="00FC6BC2" w:rsidRPr="00FC6BC2">
              <w:rPr>
                <w:rFonts w:asciiTheme="majorHAnsi" w:hAnsiTheme="majorHAnsi" w:cstheme="majorHAnsi"/>
                <w:b w:val="0"/>
                <w:bCs w:val="0"/>
                <w:i w:val="0"/>
                <w:iCs w:val="0"/>
                <w:noProof/>
                <w:webHidden/>
                <w:sz w:val="22"/>
                <w:szCs w:val="22"/>
              </w:rPr>
              <w:fldChar w:fldCharType="separate"/>
            </w:r>
            <w:r w:rsidR="00FC6BC2" w:rsidRPr="00FC6BC2">
              <w:rPr>
                <w:rFonts w:asciiTheme="majorHAnsi" w:hAnsiTheme="majorHAnsi" w:cstheme="majorHAnsi"/>
                <w:b w:val="0"/>
                <w:bCs w:val="0"/>
                <w:i w:val="0"/>
                <w:iCs w:val="0"/>
                <w:noProof/>
                <w:webHidden/>
                <w:sz w:val="22"/>
                <w:szCs w:val="22"/>
              </w:rPr>
              <w:t>7</w:t>
            </w:r>
            <w:r w:rsidR="00FC6BC2" w:rsidRPr="00FC6BC2">
              <w:rPr>
                <w:rFonts w:asciiTheme="majorHAnsi" w:hAnsiTheme="majorHAnsi" w:cstheme="majorHAnsi"/>
                <w:b w:val="0"/>
                <w:bCs w:val="0"/>
                <w:i w:val="0"/>
                <w:iCs w:val="0"/>
                <w:noProof/>
                <w:webHidden/>
                <w:sz w:val="22"/>
                <w:szCs w:val="22"/>
              </w:rPr>
              <w:fldChar w:fldCharType="end"/>
            </w:r>
          </w:hyperlink>
        </w:p>
        <w:p w14:paraId="39581614" w14:textId="253493A6" w:rsidR="00AF01BC" w:rsidRPr="00FC6BC2" w:rsidRDefault="00AF01BC">
          <w:r w:rsidRPr="00FC6BC2">
            <w:rPr>
              <w:rFonts w:cstheme="majorHAnsi"/>
            </w:rPr>
            <w:fldChar w:fldCharType="end"/>
          </w:r>
        </w:p>
      </w:sdtContent>
    </w:sdt>
    <w:p w14:paraId="065DAAF9" w14:textId="537318B5" w:rsidR="00E3188C" w:rsidRPr="0047615A" w:rsidRDefault="00E956E3" w:rsidP="00E3188C">
      <w:pPr>
        <w:pStyle w:val="Titre1"/>
      </w:pPr>
      <w:bookmarkStart w:id="2" w:name="_Toc75420382"/>
      <w:r w:rsidRPr="0047615A">
        <w:t>Déploiement des infrastructures : écosystèmes énergétiques territoriaux, systèmes de stockage, réseaux, unités de production d’énergie</w:t>
      </w:r>
      <w:bookmarkEnd w:id="2"/>
    </w:p>
    <w:p w14:paraId="65104516" w14:textId="1F5E400C" w:rsidR="00F1059D" w:rsidRDefault="00F1059D" w:rsidP="001D3018">
      <w:pPr>
        <w:jc w:val="both"/>
      </w:pPr>
      <w:r>
        <w:t xml:space="preserve">Le développement des énergies renouvelables et de récupération peut nécessiter des </w:t>
      </w:r>
      <w:r w:rsidRPr="00F1059D">
        <w:rPr>
          <w:b/>
          <w:bCs/>
        </w:rPr>
        <w:t>investissements significatifs pour le déploiement des infrastructures nécessaires</w:t>
      </w:r>
      <w:r>
        <w:t>. Pour cela, plusieurs instruments européens peuvent être sollicités.</w:t>
      </w:r>
    </w:p>
    <w:p w14:paraId="7DCBC91F" w14:textId="0DEFB662" w:rsidR="00F1059D" w:rsidRPr="00953CF3" w:rsidRDefault="00F1059D" w:rsidP="001D3018">
      <w:pPr>
        <w:jc w:val="both"/>
      </w:pPr>
    </w:p>
    <w:p w14:paraId="716E43EA" w14:textId="60544C2B" w:rsidR="002E0E64" w:rsidRPr="00953CF3" w:rsidRDefault="00F1059D" w:rsidP="00274134">
      <w:pPr>
        <w:jc w:val="both"/>
      </w:pPr>
      <w:r w:rsidRPr="00953CF3">
        <w:rPr>
          <w:b/>
          <w:bCs/>
        </w:rPr>
        <w:t>Banque européenne d’investissement (BEI) :</w:t>
      </w:r>
      <w:r w:rsidRPr="00953CF3">
        <w:t xml:space="preserve"> la BEI propose différents dispositifs de financements de type prêts, garanties ou apports en capital</w:t>
      </w:r>
      <w:r w:rsidR="002E0E64" w:rsidRPr="00953CF3">
        <w:t>.</w:t>
      </w:r>
      <w:r w:rsidRPr="00953CF3">
        <w:t xml:space="preserve"> En tant que « banque europ</w:t>
      </w:r>
      <w:r w:rsidR="00E627C3" w:rsidRPr="00953CF3">
        <w:t>é</w:t>
      </w:r>
      <w:r w:rsidRPr="00953CF3">
        <w:t>enne du climat », elle peut</w:t>
      </w:r>
      <w:r w:rsidR="00E627C3" w:rsidRPr="00953CF3">
        <w:t xml:space="preserve"> notamment</w:t>
      </w:r>
      <w:r w:rsidRPr="00953CF3">
        <w:t xml:space="preserve"> </w:t>
      </w:r>
      <w:r w:rsidR="002E0E64" w:rsidRPr="00953CF3">
        <w:t xml:space="preserve">apporter un </w:t>
      </w:r>
      <w:r w:rsidR="002E0E64" w:rsidRPr="00953CF3">
        <w:rPr>
          <w:b/>
          <w:bCs/>
        </w:rPr>
        <w:t xml:space="preserve">appui </w:t>
      </w:r>
      <w:r w:rsidR="00274134" w:rsidRPr="00953CF3">
        <w:rPr>
          <w:b/>
          <w:bCs/>
        </w:rPr>
        <w:t xml:space="preserve">au financement des investissements </w:t>
      </w:r>
      <w:r w:rsidR="00274134" w:rsidRPr="00953CF3">
        <w:t>(prêts, prêts-cadres, prêts intermédiés pour les plus petites structures…) des secteurs publics et privés</w:t>
      </w:r>
      <w:r w:rsidR="007E469B" w:rsidRPr="00953CF3">
        <w:t xml:space="preserve">, y compris dans le domaine des </w:t>
      </w:r>
      <w:proofErr w:type="spellStart"/>
      <w:r w:rsidR="007E469B" w:rsidRPr="00953CF3">
        <w:t>EnRR</w:t>
      </w:r>
      <w:proofErr w:type="spellEnd"/>
      <w:r w:rsidR="00274134" w:rsidRPr="00953CF3">
        <w:t>.</w:t>
      </w:r>
    </w:p>
    <w:p w14:paraId="1F91A38E" w14:textId="043BA9F2" w:rsidR="002E0E64" w:rsidRPr="00953CF3" w:rsidRDefault="002E0E64" w:rsidP="00114654">
      <w:pPr>
        <w:jc w:val="both"/>
      </w:pPr>
    </w:p>
    <w:p w14:paraId="7FF36AEC" w14:textId="3158B09D" w:rsidR="00114654" w:rsidRPr="00953CF3" w:rsidRDefault="00114654" w:rsidP="00114654">
      <w:pPr>
        <w:jc w:val="both"/>
      </w:pPr>
      <w:r w:rsidRPr="00953CF3">
        <w:rPr>
          <w:b/>
          <w:bCs/>
        </w:rPr>
        <w:t>InvestEU :</w:t>
      </w:r>
      <w:r w:rsidRPr="00953CF3">
        <w:t xml:space="preserve"> ce programme </w:t>
      </w:r>
      <w:r w:rsidR="00287937" w:rsidRPr="00953CF3">
        <w:t>d’investissement</w:t>
      </w:r>
      <w:r w:rsidRPr="00953CF3">
        <w:t xml:space="preserve"> majeur devra </w:t>
      </w:r>
      <w:r w:rsidRPr="00953CF3">
        <w:rPr>
          <w:color w:val="000000"/>
        </w:rPr>
        <w:t>permettre de débloquer des investissements en faveur de la production d’</w:t>
      </w:r>
      <w:proofErr w:type="spellStart"/>
      <w:r w:rsidRPr="00953CF3">
        <w:rPr>
          <w:color w:val="000000"/>
        </w:rPr>
        <w:t>EnR</w:t>
      </w:r>
      <w:proofErr w:type="spellEnd"/>
      <w:r w:rsidRPr="00953CF3">
        <w:rPr>
          <w:color w:val="000000"/>
        </w:rPr>
        <w:t>, de distribution et de stockage de l’énergie, de systèmes innovants de production combinée de chaleur et d’électricité, de production de biocarburant, etc.</w:t>
      </w:r>
      <w:r w:rsidR="005F7A54" w:rsidRPr="00953CF3">
        <w:rPr>
          <w:color w:val="000000"/>
        </w:rPr>
        <w:t xml:space="preserve"> L’appui d’InvestEU consiste majoritairement en des prêts ou des apports en fonds propres.</w:t>
      </w:r>
    </w:p>
    <w:p w14:paraId="7D20BF77" w14:textId="39CB9E37" w:rsidR="00E627C3" w:rsidRPr="00953CF3" w:rsidRDefault="00E627C3" w:rsidP="00E627C3">
      <w:pPr>
        <w:jc w:val="both"/>
      </w:pPr>
    </w:p>
    <w:p w14:paraId="0AD9B323" w14:textId="23F0FA19" w:rsidR="001D3018" w:rsidRPr="00953CF3" w:rsidRDefault="005F7A54" w:rsidP="001D3018">
      <w:pPr>
        <w:jc w:val="both"/>
      </w:pPr>
      <w:r w:rsidRPr="00953CF3">
        <w:rPr>
          <w:b/>
          <w:bCs/>
        </w:rPr>
        <w:t>Mécanisme pour l’interconnexion en Europe (MIE) :</w:t>
      </w:r>
      <w:r w:rsidRPr="00953CF3">
        <w:t xml:space="preserve"> </w:t>
      </w:r>
      <w:r w:rsidR="00287937" w:rsidRPr="00953CF3">
        <w:t>le programme MIE subventionne des projets structurant les réseaux européens dans les secteurs des transports, de l’énergie et du numérique. S</w:t>
      </w:r>
      <w:r w:rsidRPr="00953CF3">
        <w:t>on volet « Energie » finance des projets</w:t>
      </w:r>
      <w:r w:rsidR="00A331FE" w:rsidRPr="00953CF3">
        <w:t xml:space="preserve"> structurants</w:t>
      </w:r>
      <w:r w:rsidRPr="00953CF3">
        <w:t xml:space="preserve"> </w:t>
      </w:r>
      <w:r w:rsidR="00A331FE" w:rsidRPr="00953CF3">
        <w:t>(contribuant à des</w:t>
      </w:r>
      <w:r w:rsidRPr="00953CF3">
        <w:t xml:space="preserve"> projet d’intérêt commun</w:t>
      </w:r>
      <w:r w:rsidR="00A331FE" w:rsidRPr="00953CF3">
        <w:t>)</w:t>
      </w:r>
      <w:r w:rsidRPr="00953CF3">
        <w:t xml:space="preserve"> </w:t>
      </w:r>
      <w:r w:rsidR="00A331FE" w:rsidRPr="00953CF3">
        <w:t xml:space="preserve">liés aux </w:t>
      </w:r>
      <w:r w:rsidRPr="00953CF3">
        <w:t>réseaux énergétiques ainsi que des projets transfrontaliers dans le domaine des énergies renouvelables. Cet appui prend la forme de subventions aux études et dans certains cas aux travaux.</w:t>
      </w:r>
    </w:p>
    <w:p w14:paraId="6EB75929" w14:textId="0AE4700F" w:rsidR="002A153E" w:rsidRPr="00953CF3" w:rsidRDefault="002A153E" w:rsidP="001D3018">
      <w:pPr>
        <w:jc w:val="both"/>
      </w:pPr>
    </w:p>
    <w:p w14:paraId="6E2B5206" w14:textId="033F4855" w:rsidR="002A153E" w:rsidRPr="00953CF3" w:rsidRDefault="002A153E" w:rsidP="002A153E">
      <w:pPr>
        <w:tabs>
          <w:tab w:val="left" w:pos="1307"/>
        </w:tabs>
        <w:jc w:val="both"/>
      </w:pPr>
      <w:r w:rsidRPr="00953CF3">
        <w:rPr>
          <w:b/>
          <w:bCs/>
        </w:rPr>
        <w:t>Banque européenne d’investissement</w:t>
      </w:r>
      <w:r w:rsidRPr="00953CF3">
        <w:t xml:space="preserve"> </w:t>
      </w:r>
      <w:r w:rsidRPr="00953CF3">
        <w:rPr>
          <w:b/>
          <w:bCs/>
        </w:rPr>
        <w:t>(BEI) – instrument de prêt du MIE :</w:t>
      </w:r>
      <w:r w:rsidRPr="00953CF3">
        <w:t xml:space="preserve"> une partie du Mécanisme pour l’interconnexion en Europe suscité est géré par la BEI et consiste en un instrument de prêt dédié </w:t>
      </w:r>
      <w:r w:rsidRPr="00953CF3">
        <w:lastRenderedPageBreak/>
        <w:t>principalement aux secteurs des transports et de l’énergie. Il est possible de combiner les deux volets du MIE sur un même projet (subvention et prêt). Pour l’énergie, les projets visés concernent l’amélioration des infrastructures énergétiques.</w:t>
      </w:r>
    </w:p>
    <w:p w14:paraId="299E1E0E" w14:textId="77777777" w:rsidR="007E469B" w:rsidRPr="00953CF3" w:rsidRDefault="007E469B" w:rsidP="007E469B">
      <w:pPr>
        <w:jc w:val="both"/>
      </w:pPr>
    </w:p>
    <w:p w14:paraId="3E464A53" w14:textId="40E9097D" w:rsidR="007E469B" w:rsidRPr="00953CF3" w:rsidRDefault="007E469B" w:rsidP="007E469B">
      <w:pPr>
        <w:jc w:val="both"/>
      </w:pPr>
      <w:r w:rsidRPr="00953CF3">
        <w:rPr>
          <w:b/>
          <w:bCs/>
        </w:rPr>
        <w:t>Mécanisme de financement des énergies renouvelables de l'UE :</w:t>
      </w:r>
      <w:r w:rsidRPr="00953CF3">
        <w:t xml:space="preserve"> ce nouveau mécanisme </w:t>
      </w:r>
      <w:r w:rsidR="00A87FEB" w:rsidRPr="00953CF3">
        <w:t xml:space="preserve">vise à considérer de manière collective l’atteinte des objectifs de l’Union européenne en termes de production d’énergie renouvelables. Il liera des « États contributeurs », qui contribueront financièrement au dispositif </w:t>
      </w:r>
      <w:r w:rsidR="00A331FE" w:rsidRPr="00953CF3">
        <w:t xml:space="preserve">dans le but </w:t>
      </w:r>
      <w:r w:rsidR="00A87FEB" w:rsidRPr="00953CF3">
        <w:t>que des projets d’énergie renouvelable soient mis en œuvre sur le territoire d</w:t>
      </w:r>
      <w:proofErr w:type="gramStart"/>
      <w:r w:rsidR="00A87FEB" w:rsidRPr="00953CF3">
        <w:t>’«</w:t>
      </w:r>
      <w:proofErr w:type="gramEnd"/>
      <w:r w:rsidR="00A87FEB" w:rsidRPr="00953CF3">
        <w:t xml:space="preserve"> États hôtes », </w:t>
      </w:r>
      <w:r w:rsidR="00A331FE" w:rsidRPr="00953CF3">
        <w:t xml:space="preserve">et ce </w:t>
      </w:r>
      <w:r w:rsidR="00A87FEB" w:rsidRPr="00953CF3">
        <w:t>afin d’allouer de la manière la plus optimale les projets d’énergie</w:t>
      </w:r>
      <w:r w:rsidR="00A331FE" w:rsidRPr="00953CF3">
        <w:t>s</w:t>
      </w:r>
      <w:r w:rsidR="00A87FEB" w:rsidRPr="00953CF3">
        <w:t xml:space="preserve"> renouvelables sur les territoires où ils auront le plus de plus-value. </w:t>
      </w:r>
      <w:r w:rsidR="00077AD0">
        <w:t>Il n’existe pas de fiche dédiée sur ce programme, pour p</w:t>
      </w:r>
      <w:r w:rsidRPr="00953CF3">
        <w:t>lus d’informations</w:t>
      </w:r>
      <w:r w:rsidR="00077AD0">
        <w:t xml:space="preserve"> rendez-vous</w:t>
      </w:r>
      <w:r w:rsidRPr="00953CF3">
        <w:t xml:space="preserve"> </w:t>
      </w:r>
      <w:hyperlink r:id="rId8" w:history="1">
        <w:r w:rsidRPr="00953CF3">
          <w:rPr>
            <w:rStyle w:val="Lienhypertexte"/>
            <w:u w:val="none"/>
          </w:rPr>
          <w:t>ici</w:t>
        </w:r>
      </w:hyperlink>
      <w:r w:rsidRPr="00953CF3">
        <w:t>.</w:t>
      </w:r>
    </w:p>
    <w:p w14:paraId="2DF67129" w14:textId="0186CF5F" w:rsidR="007E469B" w:rsidRPr="00953CF3" w:rsidRDefault="007E469B" w:rsidP="001D3018">
      <w:pPr>
        <w:jc w:val="both"/>
      </w:pPr>
    </w:p>
    <w:p w14:paraId="2BCE1A86" w14:textId="73A6F644" w:rsidR="006E7F0F" w:rsidRPr="00953CF3" w:rsidRDefault="006E7F0F" w:rsidP="001D3018">
      <w:pPr>
        <w:jc w:val="both"/>
      </w:pPr>
      <w:r w:rsidRPr="00953CF3">
        <w:t>Dans une moindre mesure, les programmes de financement visant à soutenir les projets de territoire ou les projets innovant permettent tous le développement d’infrastructures d’énergie, mais à des échelles réduites permettant principalement la démonstration d’une nouvelle méthode ou méthodologie.</w:t>
      </w:r>
    </w:p>
    <w:p w14:paraId="0CD93C2C" w14:textId="72B6796E" w:rsidR="001D3018" w:rsidRPr="00E876B9" w:rsidRDefault="00274134" w:rsidP="001D3018">
      <w:pPr>
        <w:pStyle w:val="Titre1"/>
      </w:pPr>
      <w:bookmarkStart w:id="3" w:name="_Toc75420383"/>
      <w:r w:rsidRPr="00E876B9">
        <w:t>Projets de territoire et p</w:t>
      </w:r>
      <w:r w:rsidR="00E956E3" w:rsidRPr="00E876B9">
        <w:t>rojets d’énergie renouvelable citoyens</w:t>
      </w:r>
      <w:bookmarkEnd w:id="3"/>
    </w:p>
    <w:p w14:paraId="352B4D26" w14:textId="11FDE49C" w:rsidR="00981E6F" w:rsidRDefault="00EF27D9" w:rsidP="00274134">
      <w:pPr>
        <w:jc w:val="both"/>
      </w:pPr>
      <w:r w:rsidRPr="00953CF3">
        <w:rPr>
          <w:b/>
          <w:bCs/>
        </w:rPr>
        <w:t>LIFE </w:t>
      </w:r>
      <w:r w:rsidR="00CE134A">
        <w:rPr>
          <w:b/>
          <w:bCs/>
        </w:rPr>
        <w:t>-</w:t>
      </w:r>
      <w:r w:rsidRPr="00953CF3">
        <w:t xml:space="preserve"> </w:t>
      </w:r>
      <w:r w:rsidR="00A331FE" w:rsidRPr="00953CF3">
        <w:t xml:space="preserve">le programme LIFE finance </w:t>
      </w:r>
      <w:r w:rsidR="00981E6F">
        <w:t xml:space="preserve">des projets portant sur tous types de sujets environnementaux. Ces projets peuvent être portés par n’importe quel acteur pertinent par rapport au sujet du projet (privé, public, associatif, etc.), pour des projets </w:t>
      </w:r>
      <w:proofErr w:type="spellStart"/>
      <w:r w:rsidR="00981E6F">
        <w:t>monopartenariat</w:t>
      </w:r>
      <w:proofErr w:type="spellEnd"/>
      <w:r w:rsidR="00981E6F">
        <w:t xml:space="preserve"> ou avec partenariat, et qui peuvent être locaux, nationaux ou internationaux.</w:t>
      </w:r>
    </w:p>
    <w:p w14:paraId="2BEBF727" w14:textId="50CA124E" w:rsidR="00843B92" w:rsidRPr="00843B92" w:rsidRDefault="00981E6F" w:rsidP="00981E6F">
      <w:pPr>
        <w:pStyle w:val="Paragraphedeliste"/>
        <w:numPr>
          <w:ilvl w:val="0"/>
          <w:numId w:val="42"/>
        </w:numPr>
        <w:jc w:val="both"/>
        <w:rPr>
          <w:b/>
          <w:bCs/>
        </w:rPr>
      </w:pPr>
      <w:r w:rsidRPr="00454F15">
        <w:rPr>
          <w:b/>
          <w:bCs/>
        </w:rPr>
        <w:t>Volet « Climat »</w:t>
      </w:r>
      <w:r>
        <w:t xml:space="preserve"> : le programme 2014-2020 </w:t>
      </w:r>
      <w:r w:rsidR="00843B92">
        <w:t>possédait un volet « Atténuation du changement climatique » qui visait à soutenir le développement de projets d’énergies renouvelables, y compris des projets citoyens, avec un objectif premier de production d’énergie/de baisse des émissions de GES.</w:t>
      </w:r>
    </w:p>
    <w:p w14:paraId="7D8F5F77" w14:textId="77777777" w:rsidR="00843B92" w:rsidRPr="00843B92" w:rsidRDefault="00843B92" w:rsidP="00981E6F">
      <w:pPr>
        <w:pStyle w:val="Paragraphedeliste"/>
        <w:numPr>
          <w:ilvl w:val="0"/>
          <w:numId w:val="42"/>
        </w:numPr>
        <w:jc w:val="both"/>
        <w:rPr>
          <w:b/>
          <w:bCs/>
        </w:rPr>
      </w:pPr>
      <w:r w:rsidRPr="00454F15">
        <w:rPr>
          <w:b/>
          <w:bCs/>
        </w:rPr>
        <w:t>Le volet « Gouvernance et information en matière de climat »</w:t>
      </w:r>
      <w:r>
        <w:t xml:space="preserve"> permettait de financer des projets de structuration, de mise en réseau, de montée en compétence, d’aménagement administratifs et règlements, etc. Dans ce cadre, la mise en œuvre d’un accompagnement aux projets ENR citoyens pouvait être financé. </w:t>
      </w:r>
    </w:p>
    <w:p w14:paraId="4AC7FA50" w14:textId="23E96F53" w:rsidR="006E7F0F" w:rsidRPr="00981E6F" w:rsidRDefault="00843B92" w:rsidP="00981E6F">
      <w:pPr>
        <w:pStyle w:val="Paragraphedeliste"/>
        <w:numPr>
          <w:ilvl w:val="0"/>
          <w:numId w:val="42"/>
        </w:numPr>
        <w:jc w:val="both"/>
        <w:rPr>
          <w:b/>
          <w:bCs/>
        </w:rPr>
      </w:pPr>
      <w:r>
        <w:t xml:space="preserve">Le </w:t>
      </w:r>
      <w:r w:rsidRPr="00454F15">
        <w:rPr>
          <w:b/>
          <w:bCs/>
        </w:rPr>
        <w:t>futur</w:t>
      </w:r>
      <w:r w:rsidR="0080242E" w:rsidRPr="00454F15">
        <w:rPr>
          <w:b/>
          <w:bCs/>
        </w:rPr>
        <w:t xml:space="preserve"> </w:t>
      </w:r>
      <w:r w:rsidR="00EF27D9" w:rsidRPr="00454F15">
        <w:rPr>
          <w:b/>
          <w:bCs/>
        </w:rPr>
        <w:t>volet « Transition énergétique propre »</w:t>
      </w:r>
      <w:r w:rsidR="0080242E" w:rsidRPr="00953CF3">
        <w:t xml:space="preserve"> attendu en 2021</w:t>
      </w:r>
      <w:r w:rsidR="00EF27D9" w:rsidRPr="00953CF3">
        <w:t>,</w:t>
      </w:r>
      <w:r w:rsidR="0080242E" w:rsidRPr="00953CF3">
        <w:t xml:space="preserve"> devrait</w:t>
      </w:r>
      <w:r w:rsidR="00EF27D9" w:rsidRPr="00953CF3">
        <w:t xml:space="preserve"> finance</w:t>
      </w:r>
      <w:r w:rsidR="0080242E" w:rsidRPr="00953CF3">
        <w:t>r</w:t>
      </w:r>
      <w:r w:rsidR="00EF27D9" w:rsidRPr="00953CF3">
        <w:t xml:space="preserve"> des projets en lien avec le développement des énergies renouvelables et de récupération.</w:t>
      </w:r>
      <w:r w:rsidR="00EF27D9" w:rsidRPr="00981E6F">
        <w:rPr>
          <w:b/>
          <w:bCs/>
        </w:rPr>
        <w:t xml:space="preserve"> </w:t>
      </w:r>
    </w:p>
    <w:p w14:paraId="0FC659D3" w14:textId="0CFBC91D" w:rsidR="00EF27D9" w:rsidRPr="00953CF3" w:rsidRDefault="00EF27D9" w:rsidP="00274134">
      <w:pPr>
        <w:jc w:val="both"/>
      </w:pPr>
    </w:p>
    <w:p w14:paraId="4CBD4BDC" w14:textId="56D99A0A" w:rsidR="00657577" w:rsidRPr="00953CF3" w:rsidRDefault="00657577" w:rsidP="00657577">
      <w:pPr>
        <w:jc w:val="both"/>
      </w:pPr>
      <w:r w:rsidRPr="00953CF3">
        <w:rPr>
          <w:b/>
          <w:bCs/>
        </w:rPr>
        <w:t>INTERREG :</w:t>
      </w:r>
      <w:r w:rsidRPr="00953CF3">
        <w:t xml:space="preserve"> les programmes INTERREG visent à financer des projets de coopération transfrontalière/ transnationale sur des thématiques très variées.</w:t>
      </w:r>
      <w:r w:rsidR="00AC2A38" w:rsidRPr="00953CF3">
        <w:t xml:space="preserve"> Les pays voisins étant également dans une optique de développement des </w:t>
      </w:r>
      <w:proofErr w:type="spellStart"/>
      <w:r w:rsidR="00AC2A38" w:rsidRPr="00953CF3">
        <w:t>EnRR</w:t>
      </w:r>
      <w:proofErr w:type="spellEnd"/>
      <w:r w:rsidR="00AC2A38" w:rsidRPr="00953CF3">
        <w:t>, ces programmes pourraient permettre de faire émerger des projets communs sur cette thématique.</w:t>
      </w:r>
      <w:r w:rsidRPr="00953CF3">
        <w:t xml:space="preserve"> </w:t>
      </w:r>
      <w:r w:rsidR="00AC2A38" w:rsidRPr="00953CF3">
        <w:t>E</w:t>
      </w:r>
      <w:r w:rsidRPr="00953CF3">
        <w:t>n fonction des programmes, les critères d’éligibilité (type d’acteurs, de projets et territoires éligibles, nombre de partenaires minimum, etc.) et les priorités diffèrent</w:t>
      </w:r>
      <w:r w:rsidR="00AC2A38" w:rsidRPr="00953CF3">
        <w:t xml:space="preserve"> mais plusieurs caractéristiques se retrouvent dans la plupart des programmes : partenariat transnational obligatoire, tout type d’acteur éligible sauf exceptions, importance de la plus-value liée à la coopération</w:t>
      </w:r>
      <w:r w:rsidRPr="00953CF3">
        <w:t xml:space="preserve">. Sur les six programmes INTERREG qui couvrent la Région Grand Est, voici les programmes et priorités de la programmation 2021-2027 pertinents pour financer des projets en lien avec les </w:t>
      </w:r>
      <w:proofErr w:type="spellStart"/>
      <w:r w:rsidRPr="00953CF3">
        <w:t>EnRR</w:t>
      </w:r>
      <w:proofErr w:type="spellEnd"/>
      <w:r w:rsidRPr="00953CF3">
        <w:t xml:space="preserve"> :</w:t>
      </w:r>
    </w:p>
    <w:p w14:paraId="3C108ED1" w14:textId="0CEBBAEB" w:rsidR="00657577" w:rsidRPr="00953CF3" w:rsidRDefault="00657577" w:rsidP="00657577">
      <w:pPr>
        <w:pStyle w:val="Paragraphedeliste"/>
        <w:numPr>
          <w:ilvl w:val="0"/>
          <w:numId w:val="38"/>
        </w:numPr>
        <w:jc w:val="both"/>
      </w:pPr>
      <w:r w:rsidRPr="00953CF3">
        <w:t>Le programme INTERREG VI A Rhin supérieur, qui couvre le territoire de l’ancienne région Alsace, comporte un objectif « Développer les systèmes, réseaux et équipements de stockage énergétiques intelligents en dehors du réseau transeuropéen d’énergie (RTE-E) ». Il couvre également plusieurs régions de l’Allemagne et de la Suisse.</w:t>
      </w:r>
    </w:p>
    <w:p w14:paraId="5B95B793" w14:textId="4266D524" w:rsidR="00657577" w:rsidRPr="00953CF3" w:rsidRDefault="00657577" w:rsidP="00657577">
      <w:pPr>
        <w:pStyle w:val="Paragraphedeliste"/>
        <w:numPr>
          <w:ilvl w:val="0"/>
          <w:numId w:val="38"/>
        </w:numPr>
        <w:jc w:val="both"/>
      </w:pPr>
      <w:r w:rsidRPr="00953CF3">
        <w:t>Le programme INTERREG VI B Espace Alpin, qui couvre le territoire de l’ancienne région Alsace, comporte un objectif « Promouvoir les mesures d'efficacité énergétique ». Il couvre aussi des régions en Italie, Slovénie, Allemagne et en Autriche, ainsi que la Suisse et le Liechtenstein.</w:t>
      </w:r>
    </w:p>
    <w:p w14:paraId="19B05DF8" w14:textId="79C009C0" w:rsidR="00657577" w:rsidRPr="00953CF3" w:rsidRDefault="00657577" w:rsidP="00657577">
      <w:pPr>
        <w:pStyle w:val="Paragraphedeliste"/>
        <w:numPr>
          <w:ilvl w:val="0"/>
          <w:numId w:val="38"/>
        </w:numPr>
        <w:jc w:val="both"/>
      </w:pPr>
      <w:r w:rsidRPr="00953CF3">
        <w:t>Le programme INTERREG VI B Europe du Nord-Ouest, qui couvre l’ensemble du territoire du Grand Est, comporte un objectif « Promouvoir les énergies renouvelables ». Il concerne aussi des régions des Pays-Bas et de l’Allemagne, ainsi que la Belgique, le Luxembourg et l’Irlande.</w:t>
      </w:r>
    </w:p>
    <w:p w14:paraId="325F0E77" w14:textId="4700461C" w:rsidR="00657577" w:rsidRPr="00953CF3" w:rsidRDefault="00657577" w:rsidP="00274134">
      <w:pPr>
        <w:pStyle w:val="Paragraphedeliste"/>
        <w:numPr>
          <w:ilvl w:val="0"/>
          <w:numId w:val="38"/>
        </w:numPr>
        <w:jc w:val="both"/>
      </w:pPr>
      <w:r w:rsidRPr="00953CF3">
        <w:lastRenderedPageBreak/>
        <w:t>Le programme INTERREG VI C pour des projets de coopération interrégionale améliorant la gouvernance sur cette thématique en particulier. Il couvre l’ensemble de l’Europe, la Norvège ainsi que la Suisse et donc l’ensemble du territoire du Grand Est.</w:t>
      </w:r>
    </w:p>
    <w:p w14:paraId="70936EFD" w14:textId="15A0DAD7" w:rsidR="00AC2A38" w:rsidRPr="00953CF3" w:rsidRDefault="00AC2A38" w:rsidP="00AC2A38">
      <w:pPr>
        <w:jc w:val="both"/>
      </w:pPr>
      <w:r w:rsidRPr="00953CF3">
        <w:t>Ces informations, sur les priorités et types de projet éligibles, seront toutefois à vérifier lors de la publication des Programmes opérationnels 2021-2027 définitifs.</w:t>
      </w:r>
    </w:p>
    <w:p w14:paraId="2CEB0EF3" w14:textId="77777777" w:rsidR="00657577" w:rsidRPr="00953CF3" w:rsidRDefault="00657577" w:rsidP="00274134">
      <w:pPr>
        <w:jc w:val="both"/>
      </w:pPr>
    </w:p>
    <w:p w14:paraId="367A390D" w14:textId="3797191A" w:rsidR="00972DC4" w:rsidRPr="00953CF3" w:rsidRDefault="00972DC4" w:rsidP="00274134">
      <w:pPr>
        <w:jc w:val="both"/>
      </w:pPr>
      <w:r w:rsidRPr="00953CF3">
        <w:rPr>
          <w:b/>
          <w:bCs/>
        </w:rPr>
        <w:t>UIA :</w:t>
      </w:r>
      <w:r w:rsidRPr="00953CF3">
        <w:t xml:space="preserve"> </w:t>
      </w:r>
      <w:r w:rsidR="006D74DA" w:rsidRPr="00953CF3">
        <w:t>c</w:t>
      </w:r>
      <w:bookmarkStart w:id="4" w:name="_Hlk74650282"/>
      <w:r w:rsidR="006D74DA" w:rsidRPr="00953CF3">
        <w:t>e programme vise à aider les autorités urbaines via notamment le financement de la « prise de risque » que représente le financement d’une innovation. Le but est ici de développer des solutions nouvelles ou difficiles à mettre en place pour résoudre des problèmes urbains. La question des projets de développement territoriaux d’énergies renouvelables et/ou de projets citoyens sont finançables via la thématique « Transition énergétique », notamment en visant la mise en place de nouvelles gouvernances, de nouvelles procédures, une mise en réseau innovante, etc. Un projet UIA doit obligatoirement être porté par une autorité urbaine (ville, métropole, communauté de commune etc.) de plus de 50 000 habitants. Des actions de promotion/sensibilisation peuvent être inclues dans le projet.</w:t>
      </w:r>
      <w:bookmarkEnd w:id="4"/>
    </w:p>
    <w:p w14:paraId="2C4ED20B" w14:textId="77777777" w:rsidR="00972DC4" w:rsidRPr="00953CF3" w:rsidRDefault="00972DC4" w:rsidP="00274134">
      <w:pPr>
        <w:jc w:val="both"/>
        <w:rPr>
          <w:b/>
          <w:bCs/>
        </w:rPr>
      </w:pPr>
    </w:p>
    <w:p w14:paraId="7CF48C8B" w14:textId="2C744AED" w:rsidR="00274134" w:rsidRPr="00953CF3" w:rsidRDefault="006E43DF" w:rsidP="001D3018">
      <w:pPr>
        <w:jc w:val="both"/>
      </w:pPr>
      <w:r w:rsidRPr="00953CF3">
        <w:rPr>
          <w:b/>
          <w:bCs/>
        </w:rPr>
        <w:t>EU City Facility</w:t>
      </w:r>
      <w:r w:rsidR="000009E7" w:rsidRPr="00953CF3">
        <w:rPr>
          <w:b/>
          <w:bCs/>
        </w:rPr>
        <w:t> :</w:t>
      </w:r>
      <w:r w:rsidR="00734D0B" w:rsidRPr="00953CF3">
        <w:t> </w:t>
      </w:r>
      <w:r w:rsidR="00657577" w:rsidRPr="00953CF3">
        <w:t xml:space="preserve">la Facilité européenne pour les villes permet de financer (via une subvention de 50 000€) l’élaboration de concepts d’investissement en lien avec les plans climat/énergie des autorités locales/municipalités. Ces concepts d’investissement peuvent porter sur des sujets liés aux </w:t>
      </w:r>
      <w:proofErr w:type="spellStart"/>
      <w:r w:rsidR="00657577" w:rsidRPr="00953CF3">
        <w:t>EnRR</w:t>
      </w:r>
      <w:proofErr w:type="spellEnd"/>
      <w:r w:rsidR="00657577" w:rsidRPr="00953CF3">
        <w:t xml:space="preserve"> tels que les infrastructures énergétiques innovantes (par exemple, les communautés énergétiques citoyennes).  </w:t>
      </w:r>
    </w:p>
    <w:p w14:paraId="7CA7F66D" w14:textId="77777777" w:rsidR="00972DC4" w:rsidRPr="00953CF3" w:rsidRDefault="00972DC4" w:rsidP="001D3018">
      <w:pPr>
        <w:jc w:val="both"/>
      </w:pPr>
    </w:p>
    <w:p w14:paraId="1E8F95DB" w14:textId="730383F0" w:rsidR="00274134" w:rsidRPr="00953CF3" w:rsidRDefault="00274134" w:rsidP="001D3018">
      <w:pPr>
        <w:jc w:val="both"/>
      </w:pPr>
      <w:r w:rsidRPr="00953CF3">
        <w:rPr>
          <w:b/>
          <w:bCs/>
        </w:rPr>
        <w:t>Banque européenne d’investissement :</w:t>
      </w:r>
      <w:r w:rsidRPr="00953CF3">
        <w:t xml:space="preserve"> </w:t>
      </w:r>
      <w:r w:rsidR="00C13828" w:rsidRPr="00953CF3">
        <w:t>la BEI propose également des</w:t>
      </w:r>
      <w:r w:rsidRPr="00953CF3">
        <w:t xml:space="preserve"> services de conseil</w:t>
      </w:r>
      <w:r w:rsidR="00C13828" w:rsidRPr="00953CF3">
        <w:t>, qui</w:t>
      </w:r>
      <w:r w:rsidR="00287937" w:rsidRPr="00953CF3">
        <w:t xml:space="preserve"> </w:t>
      </w:r>
      <w:r w:rsidRPr="00953CF3">
        <w:t>pourraient être mobilisés</w:t>
      </w:r>
      <w:r w:rsidR="00C13828" w:rsidRPr="00953CF3">
        <w:t xml:space="preserve"> dans le secteur des </w:t>
      </w:r>
      <w:proofErr w:type="spellStart"/>
      <w:r w:rsidR="00C13828" w:rsidRPr="00953CF3">
        <w:t>EnRR</w:t>
      </w:r>
      <w:proofErr w:type="spellEnd"/>
      <w:r w:rsidR="00C13828" w:rsidRPr="00953CF3">
        <w:t>, par ex</w:t>
      </w:r>
      <w:r w:rsidR="00FB339D" w:rsidRPr="00953CF3">
        <w:t>e</w:t>
      </w:r>
      <w:r w:rsidR="00C13828" w:rsidRPr="00953CF3">
        <w:t>mple</w:t>
      </w:r>
      <w:r w:rsidRPr="00953CF3">
        <w:t xml:space="preserve"> pour la conception et le déploiement d</w:t>
      </w:r>
      <w:r w:rsidRPr="00953CF3">
        <w:rPr>
          <w:color w:val="000000"/>
        </w:rPr>
        <w:t>e stratégies urbaines pour des écosystèmes énergétiques territoriaux (URBIS</w:t>
      </w:r>
      <w:r w:rsidR="00C13828" w:rsidRPr="00953CF3">
        <w:rPr>
          <w:color w:val="000000"/>
        </w:rPr>
        <w:t xml:space="preserve"> – dispositif pour les autorités urbaines</w:t>
      </w:r>
      <w:r w:rsidRPr="00953CF3">
        <w:rPr>
          <w:color w:val="000000"/>
        </w:rPr>
        <w:t>) ou encore dans le domaine de l’efficacité énergétique (ELENA).</w:t>
      </w:r>
    </w:p>
    <w:p w14:paraId="68A62C70" w14:textId="5AEA89D4" w:rsidR="001D3018" w:rsidRPr="00E876B9" w:rsidRDefault="00E956E3" w:rsidP="0030099D">
      <w:pPr>
        <w:pStyle w:val="Titre1"/>
      </w:pPr>
      <w:bookmarkStart w:id="5" w:name="_Toc75420384"/>
      <w:r w:rsidRPr="00E876B9">
        <w:t>Montée en compétences</w:t>
      </w:r>
      <w:r w:rsidR="00287937" w:rsidRPr="00E876B9">
        <w:t xml:space="preserve"> - </w:t>
      </w:r>
      <w:r w:rsidR="003F2F57" w:rsidRPr="00E876B9">
        <w:t>Sensibilisation</w:t>
      </w:r>
      <w:bookmarkEnd w:id="5"/>
    </w:p>
    <w:p w14:paraId="031744F2" w14:textId="753C0848" w:rsidR="0030099D" w:rsidRPr="00953CF3" w:rsidRDefault="0030099D" w:rsidP="0030099D">
      <w:pPr>
        <w:jc w:val="both"/>
      </w:pPr>
      <w:bookmarkStart w:id="6" w:name="_Hlk74992196"/>
      <w:r w:rsidRPr="00953CF3">
        <w:rPr>
          <w:b/>
          <w:bCs/>
        </w:rPr>
        <w:t>Erasmus+ </w:t>
      </w:r>
      <w:r w:rsidRPr="00953CF3">
        <w:t xml:space="preserve">: à travers son </w:t>
      </w:r>
      <w:r w:rsidRPr="00953CF3">
        <w:rPr>
          <w:b/>
          <w:bCs/>
        </w:rPr>
        <w:t>action-clef n°1</w:t>
      </w:r>
      <w:r w:rsidRPr="00953CF3">
        <w:t>, le programme Erasmus+ permet de financer des projets de mobilité pour les apprenants et personnels de l’enseignement scolaire, supérieur, de la formation professionnelle. L’une des priorités transversales du programme est l’environnement et la lutte contre le changement climatique, il pourrait donc permettre aux acteurs de l’enseignement, de la formation et de la jeunesse de financer des projets de mobilité en lien avec ces thématiques et le domaine des énergies renouvelables et de récupération.</w:t>
      </w:r>
    </w:p>
    <w:p w14:paraId="3CEAF566" w14:textId="77777777" w:rsidR="0030099D" w:rsidRPr="00953CF3" w:rsidRDefault="0030099D" w:rsidP="0030099D">
      <w:pPr>
        <w:jc w:val="both"/>
      </w:pPr>
    </w:p>
    <w:p w14:paraId="2EBCA399" w14:textId="483E8806" w:rsidR="0030099D" w:rsidRPr="00953CF3" w:rsidRDefault="0030099D" w:rsidP="0030099D">
      <w:pPr>
        <w:jc w:val="both"/>
      </w:pPr>
      <w:r w:rsidRPr="00953CF3">
        <w:rPr>
          <w:b/>
          <w:bCs/>
        </w:rPr>
        <w:t>Erasmus+</w:t>
      </w:r>
      <w:r w:rsidRPr="00953CF3">
        <w:t xml:space="preserve"> : à travers son </w:t>
      </w:r>
      <w:r w:rsidRPr="00953CF3">
        <w:rPr>
          <w:b/>
          <w:bCs/>
        </w:rPr>
        <w:t>action-clef n°2</w:t>
      </w:r>
      <w:r w:rsidRPr="00953CF3">
        <w:t>, le programme Erasmus+ permet de financer des projets visant à élaborer et/ou partager des méthodes et des outils de travail innovants dans les domaines de l’éducation, de la formation, la jeunesse et du sport. Ils peuvent être portés par tous les acteurs des domaines cités ci-dessus et doivent avoir une dimension internationale. L’environnement et la lutte contre le changement climatique étant une priorité transversale du programme, il pourrait permettre de financer des projets de coopération visant à former de la main d’œuvre sur ces sources d’énergies.</w:t>
      </w:r>
    </w:p>
    <w:bookmarkEnd w:id="6"/>
    <w:p w14:paraId="1E2C8AAF" w14:textId="77777777" w:rsidR="0030099D" w:rsidRPr="00953CF3" w:rsidRDefault="0030099D" w:rsidP="001D3018">
      <w:pPr>
        <w:jc w:val="both"/>
      </w:pPr>
    </w:p>
    <w:p w14:paraId="1CA9F03D" w14:textId="579DE74B" w:rsidR="0030099D" w:rsidRPr="00953CF3" w:rsidRDefault="0030099D" w:rsidP="0030099D">
      <w:pPr>
        <w:jc w:val="both"/>
      </w:pPr>
      <w:r w:rsidRPr="00953CF3">
        <w:rPr>
          <w:b/>
          <w:bCs/>
        </w:rPr>
        <w:t>INTERREG :</w:t>
      </w:r>
      <w:r w:rsidRPr="00953CF3">
        <w:t xml:space="preserve"> les programmes INTERREG visent à financer des projets de coopération transfrontalière/ transnationale sur des thématiques très variées</w:t>
      </w:r>
      <w:r w:rsidR="00AC2A38" w:rsidRPr="00953CF3">
        <w:t xml:space="preserve"> et ces projets peuvent comprendre un important volet sensibilisation et/ou montée en compétences des acteurs</w:t>
      </w:r>
      <w:r w:rsidRPr="00953CF3">
        <w:t xml:space="preserve">. </w:t>
      </w:r>
      <w:r w:rsidR="00AC2A38" w:rsidRPr="00953CF3">
        <w:t>E</w:t>
      </w:r>
      <w:r w:rsidRPr="00953CF3">
        <w:t>n fonction des programmes, les critères d’éligibilité (type d’acteurs, de projets et territoires éligibles, nombre de partenaires minimum, etc.) et les priorités diffèrent</w:t>
      </w:r>
      <w:r w:rsidR="00AC2A38" w:rsidRPr="00953CF3">
        <w:t xml:space="preserve"> mais plusieurs caractéristiques se retrouvent dans la plupart des programmes : partenariat transnational obligatoire, tout type d’acteur éligible sauf exceptions, importance de la plus-value liée à la coopération</w:t>
      </w:r>
      <w:r w:rsidRPr="00953CF3">
        <w:t>. Sur les six programmes INTERREG qui couvrent la Région Grand Est, voici les programmes et priorités de la programmation 2021-2027 pertinents pour financer des projets en lien avec la formation et la montée en compétence de la main d’œuvre sur les énergies renouvelables et de récupération :</w:t>
      </w:r>
    </w:p>
    <w:p w14:paraId="3E7214FA" w14:textId="77777777" w:rsidR="0030099D" w:rsidRPr="00953CF3" w:rsidRDefault="0030099D" w:rsidP="0030099D">
      <w:pPr>
        <w:pStyle w:val="Paragraphedeliste"/>
        <w:numPr>
          <w:ilvl w:val="1"/>
          <w:numId w:val="29"/>
        </w:numPr>
        <w:ind w:left="785"/>
        <w:jc w:val="both"/>
      </w:pPr>
      <w:r w:rsidRPr="00953CF3">
        <w:lastRenderedPageBreak/>
        <w:t>Le programme INTERREG VI A Grande région, qui couvre le territoire de l’ancienne région Lorraine, comporte un objectif « Améliorer l’égalité d’accès à des services inclusifs et de qualité dans l’éducation, la formation et l’apprentissage tout au long de la vie en développant des infrastructures accessibles, notamment en favorisant la résilience de l’éducation et de la formation à distance et en ligne ». Il couvre également le Luxembourg, la Wallonie et plusieurs régions d’Allemagne.</w:t>
      </w:r>
    </w:p>
    <w:p w14:paraId="10CC4253" w14:textId="77777777" w:rsidR="00AC2A38" w:rsidRPr="00953CF3" w:rsidRDefault="0030099D" w:rsidP="00AC2A38">
      <w:pPr>
        <w:pStyle w:val="Paragraphedeliste"/>
        <w:numPr>
          <w:ilvl w:val="1"/>
          <w:numId w:val="29"/>
        </w:numPr>
        <w:ind w:left="785"/>
        <w:jc w:val="both"/>
      </w:pPr>
      <w:r w:rsidRPr="00953CF3">
        <w:t>Le programme INTERREG VI A Rhin supérieur, qui couvre le territoire de l’ancienne région Alsace, comporte un objectif « Améliorer l'égalité de l'accès à des services de qualité et inclusifs dans l'éducation, la formation et l'apprentissage tout au long de la vie grâce au développement d'infrastructures accessibles, notamment en favorisant la résilience dans le domaine de l'enseignement et de la formation à distance et en ligne ». Il couvre également plusieurs régions de l’Allemagne et de la Suisse.</w:t>
      </w:r>
    </w:p>
    <w:p w14:paraId="1A6D9F6B" w14:textId="3A2AA36C" w:rsidR="00AC2A38" w:rsidRPr="00953CF3" w:rsidRDefault="00AC2A38" w:rsidP="00AC2A38">
      <w:pPr>
        <w:pStyle w:val="Paragraphedeliste"/>
        <w:numPr>
          <w:ilvl w:val="1"/>
          <w:numId w:val="29"/>
        </w:numPr>
        <w:ind w:left="785"/>
        <w:jc w:val="both"/>
      </w:pPr>
      <w:r w:rsidRPr="00953CF3">
        <w:t>Le programme INTERREG VI B Espace Alpin, qui couvre le territoire de l’ancienne région Alsace, comporte un objectif « Promouvoir les mesures d'efficacité énergétique ». Il couvre aussi des régions en Italie, Slovénie, Allemagne et en Autriche, ainsi que la Suisse et le Liechtenstein.</w:t>
      </w:r>
    </w:p>
    <w:p w14:paraId="1D4BBF81" w14:textId="77777777" w:rsidR="0030099D" w:rsidRPr="00953CF3" w:rsidRDefault="0030099D" w:rsidP="0030099D">
      <w:pPr>
        <w:pStyle w:val="Paragraphedeliste"/>
        <w:numPr>
          <w:ilvl w:val="1"/>
          <w:numId w:val="29"/>
        </w:numPr>
        <w:ind w:left="785"/>
        <w:jc w:val="both"/>
      </w:pPr>
      <w:r w:rsidRPr="00953CF3">
        <w:t>Le programme INTERREG VI B Europe du Nord-Ouest, qui couvre l’ensemble du territoire du Grand Est, comporte un objectif « Promouvoir l’efficacité énergétique et réduire les émissions de gaz à effet de serre ». Il concerne aussi des régions des Pays-Bas et de l’Allemagne, ainsi que la Belgique, le Luxembourg et l’Irlande.</w:t>
      </w:r>
    </w:p>
    <w:p w14:paraId="0175BB95" w14:textId="6AEE4B82" w:rsidR="0030099D" w:rsidRPr="00953CF3" w:rsidRDefault="0030099D" w:rsidP="001D3018">
      <w:pPr>
        <w:pStyle w:val="Paragraphedeliste"/>
        <w:numPr>
          <w:ilvl w:val="1"/>
          <w:numId w:val="29"/>
        </w:numPr>
        <w:ind w:left="785"/>
        <w:jc w:val="both"/>
      </w:pPr>
      <w:r w:rsidRPr="00953CF3">
        <w:t>Le programme INTERREG VI C pour des projets de coopération interrégionale améliorant la gouvernance sur cette thématique en particulier. Il couvre l’ensemble de l’Europe, la Norvège ainsi que la Suisse et donc l’ensemble du territoire du Grand Est.</w:t>
      </w:r>
    </w:p>
    <w:p w14:paraId="52D3BA0E" w14:textId="16863C23" w:rsidR="00AC2A38" w:rsidRPr="00953CF3" w:rsidRDefault="00AC2A38" w:rsidP="00AC2A38">
      <w:pPr>
        <w:jc w:val="both"/>
      </w:pPr>
      <w:r w:rsidRPr="00953CF3">
        <w:t>Ces informations, sur les priorités et types de projet éligibles, seront toutefois à vérifier lors de la publication des Programmes opérationnels 2021-2027 définitifs.</w:t>
      </w:r>
    </w:p>
    <w:p w14:paraId="78DEEEFC" w14:textId="1AD4A4AD" w:rsidR="00E956E3" w:rsidRPr="00953CF3" w:rsidRDefault="00E956E3" w:rsidP="001D3018">
      <w:pPr>
        <w:jc w:val="both"/>
      </w:pPr>
    </w:p>
    <w:p w14:paraId="6ABE42B5" w14:textId="4618EDB2" w:rsidR="00A370D3" w:rsidRPr="00953CF3" w:rsidRDefault="00A370D3" w:rsidP="001D3018">
      <w:pPr>
        <w:jc w:val="both"/>
      </w:pPr>
      <w:r w:rsidRPr="00953CF3">
        <w:rPr>
          <w:b/>
          <w:bCs/>
        </w:rPr>
        <w:t>LIFE :</w:t>
      </w:r>
      <w:r w:rsidRPr="00953CF3">
        <w:t xml:space="preserve"> le programme LIFE finance par des subventions des projets innovants dotés d’une certaine maturité technologique (à partir du TRL 6 environ) dans le domaine de l’environnement et du climat. Des actions de formation peuvent faire partie intégrante d’un programme LIFE mais en aucun cas elles ne suffisent à elles seules à constituer un projet LIFE.</w:t>
      </w:r>
    </w:p>
    <w:p w14:paraId="45639889" w14:textId="18DF9591" w:rsidR="003F2F57" w:rsidRPr="00953CF3" w:rsidRDefault="003F2F57" w:rsidP="001D3018">
      <w:pPr>
        <w:jc w:val="both"/>
      </w:pPr>
    </w:p>
    <w:p w14:paraId="7AFDD2C0" w14:textId="3EAE82D9" w:rsidR="000B2403" w:rsidRPr="00953CF3" w:rsidRDefault="003F2F57" w:rsidP="001D3018">
      <w:pPr>
        <w:jc w:val="both"/>
        <w:rPr>
          <w:b/>
          <w:bCs/>
        </w:rPr>
      </w:pPr>
      <w:r w:rsidRPr="00953CF3">
        <w:rPr>
          <w:b/>
          <w:bCs/>
        </w:rPr>
        <w:t>Horizon Europe</w:t>
      </w:r>
      <w:r w:rsidR="000B2403" w:rsidRPr="00953CF3">
        <w:rPr>
          <w:b/>
          <w:bCs/>
        </w:rPr>
        <w:t> </w:t>
      </w:r>
      <w:r w:rsidR="00C24A2C" w:rsidRPr="00C24A2C">
        <w:t>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w:t>
      </w:r>
    </w:p>
    <w:p w14:paraId="54798E54" w14:textId="689D9632" w:rsidR="003F2F57" w:rsidRPr="00953CF3" w:rsidRDefault="003F2F57" w:rsidP="000B2403">
      <w:pPr>
        <w:pStyle w:val="Paragraphedeliste"/>
        <w:numPr>
          <w:ilvl w:val="0"/>
          <w:numId w:val="40"/>
        </w:numPr>
        <w:jc w:val="both"/>
      </w:pPr>
      <w:r w:rsidRPr="00953CF3">
        <w:rPr>
          <w:b/>
          <w:bCs/>
        </w:rPr>
        <w:t>Cluster 5 </w:t>
      </w:r>
      <w:r w:rsidR="00C24A2C">
        <w:t>(</w:t>
      </w:r>
      <w:r w:rsidR="004C3129" w:rsidRPr="00953CF3">
        <w:t>Climat – Energie – Mobilité</w:t>
      </w:r>
      <w:r w:rsidR="00C24A2C">
        <w:t>)</w:t>
      </w:r>
      <w:r w:rsidRPr="00953CF3">
        <w:t xml:space="preserve"> comprend plusieurs thématiques liées à l’implication des citoyens dans la production d’énergie, notamment via leur implication dans les processus de décision, une meilleure compréhension des enjeux, etc. Certains appels (ex : « </w:t>
      </w:r>
      <w:r w:rsidR="00AF5AB8" w:rsidRPr="00953CF3">
        <w:t>Clean Energy Transition ») permettent également un paiement aux tiers</w:t>
      </w:r>
      <w:r w:rsidR="00C24A2C">
        <w:t xml:space="preserve"> (</w:t>
      </w:r>
      <w:proofErr w:type="spellStart"/>
      <w:r w:rsidR="00C24A2C">
        <w:t>ie</w:t>
      </w:r>
      <w:proofErr w:type="spellEnd"/>
      <w:r w:rsidR="00C24A2C">
        <w:t>. A des parties extérieures au partenariat)</w:t>
      </w:r>
      <w:r w:rsidR="00AF5AB8" w:rsidRPr="00953CF3">
        <w:t xml:space="preserve"> pour soutenir des projets</w:t>
      </w:r>
      <w:r w:rsidR="00C24A2C">
        <w:t xml:space="preserve"> de production d’ENR.</w:t>
      </w:r>
    </w:p>
    <w:p w14:paraId="2E31DF54" w14:textId="762A96DD" w:rsidR="00E956E3" w:rsidRPr="00E876B9" w:rsidRDefault="00E956E3" w:rsidP="00E956E3">
      <w:pPr>
        <w:pStyle w:val="Titre1"/>
      </w:pPr>
      <w:bookmarkStart w:id="7" w:name="_Toc75420385"/>
      <w:r w:rsidRPr="00E876B9">
        <w:t>Réseaux transnationaux énergétiques</w:t>
      </w:r>
      <w:bookmarkEnd w:id="7"/>
    </w:p>
    <w:p w14:paraId="1B6FD4B9" w14:textId="0CDC3003" w:rsidR="00E956E3" w:rsidRPr="00953CF3" w:rsidRDefault="00E956E3" w:rsidP="001D3018">
      <w:pPr>
        <w:jc w:val="both"/>
      </w:pPr>
      <w:r w:rsidRPr="00796E96">
        <w:rPr>
          <w:i/>
          <w:iCs/>
        </w:rPr>
        <w:t xml:space="preserve"> </w:t>
      </w:r>
      <w:r w:rsidR="00CD49B4" w:rsidRPr="00953CF3">
        <w:rPr>
          <w:b/>
          <w:bCs/>
        </w:rPr>
        <w:t>Mécanismes pour l’interconnexion en Europe</w:t>
      </w:r>
      <w:r w:rsidR="00AF2A52" w:rsidRPr="00953CF3">
        <w:rPr>
          <w:b/>
          <w:bCs/>
        </w:rPr>
        <w:t xml:space="preserve"> (MIE)</w:t>
      </w:r>
      <w:r w:rsidR="00CD49B4" w:rsidRPr="00953CF3">
        <w:rPr>
          <w:b/>
          <w:bCs/>
        </w:rPr>
        <w:t> :</w:t>
      </w:r>
      <w:r w:rsidR="00CD49B4" w:rsidRPr="00953CF3">
        <w:t xml:space="preserve"> le MIE subventionne des projets structurant les réseaux européens dans les secteurs des transports, de l’énergie et du numérique. Son volet « Energie » finance des projets structurants (contribuant à des projet d’intérêt commun) liés aux réseaux énergétiques ainsi que des projets transfrontaliers dans le domaine des énergies renouvelables. Cet appui prend la forme de subventions aux études et dans certains cas aux travaux.</w:t>
      </w:r>
    </w:p>
    <w:p w14:paraId="43D6349A" w14:textId="0BACD2D6" w:rsidR="006D7F84" w:rsidRPr="00953CF3" w:rsidRDefault="006D7F84" w:rsidP="001D3018">
      <w:pPr>
        <w:jc w:val="both"/>
      </w:pPr>
    </w:p>
    <w:p w14:paraId="00211BE3" w14:textId="1749BF5E" w:rsidR="006D7F84" w:rsidRPr="00953CF3" w:rsidRDefault="006D7F84" w:rsidP="001D3018">
      <w:pPr>
        <w:jc w:val="both"/>
      </w:pPr>
      <w:r w:rsidRPr="00953CF3">
        <w:rPr>
          <w:b/>
          <w:bCs/>
        </w:rPr>
        <w:t>Banque européenne d’investissement</w:t>
      </w:r>
      <w:r w:rsidRPr="00953CF3">
        <w:t xml:space="preserve"> </w:t>
      </w:r>
      <w:r w:rsidRPr="00953CF3">
        <w:rPr>
          <w:b/>
          <w:bCs/>
        </w:rPr>
        <w:t>(BEI) – instrument de prêt du MIE :</w:t>
      </w:r>
      <w:r w:rsidRPr="00953CF3">
        <w:t xml:space="preserve"> une partie du Mécanisme pour l’interconnexion en Europe suscité est géré par la BEI et consiste en un instrument de prêt dédié principalement aux secteurs des transports et de l’énergie. Il est possible de combiner les deux volets du MIE </w:t>
      </w:r>
      <w:r w:rsidRPr="00953CF3">
        <w:lastRenderedPageBreak/>
        <w:t>sur un même projet (subvention et prêt). Pour l’énergie, les projets visés concernent l’amélioration des infrastructures énergétiques.</w:t>
      </w:r>
    </w:p>
    <w:p w14:paraId="41B5DBFB" w14:textId="78C4F8C2" w:rsidR="007F174D" w:rsidRPr="00953CF3" w:rsidRDefault="007F174D" w:rsidP="001D3018">
      <w:pPr>
        <w:jc w:val="both"/>
      </w:pPr>
    </w:p>
    <w:p w14:paraId="37881CBE" w14:textId="57D61CD2" w:rsidR="007F174D" w:rsidRPr="00953CF3" w:rsidRDefault="007F174D" w:rsidP="00356D40">
      <w:pPr>
        <w:jc w:val="both"/>
      </w:pPr>
      <w:r w:rsidRPr="00953CF3">
        <w:rPr>
          <w:b/>
          <w:bCs/>
        </w:rPr>
        <w:t>INTERREG :</w:t>
      </w:r>
      <w:r w:rsidRPr="00953CF3">
        <w:t xml:space="preserve"> les programmes INTERREG visent à financer des projets de coopération transfrontalière/ transnationale sur des thématiques très variées. </w:t>
      </w:r>
      <w:r w:rsidR="00DE76FB" w:rsidRPr="00953CF3">
        <w:t>E</w:t>
      </w:r>
      <w:r w:rsidRPr="00953CF3">
        <w:t>n fonction des programmes, les critères d’éligibilité (type d’acteurs, de projets et territoires éligibles, nombre de partenaires minimum, etc.) et les priorités diffèrent</w:t>
      </w:r>
      <w:r w:rsidR="00DE76FB" w:rsidRPr="00953CF3">
        <w:t xml:space="preserve"> mais plusieurs caractéristiques se retrouvent dans la plupart des programmes : partenariat transnational obligatoire, tout type d’acteur éligible sauf exceptions, importance de la plus-value liée à la coopération</w:t>
      </w:r>
      <w:r w:rsidRPr="00953CF3">
        <w:t>. Sur les six programmes INTERREG qui couvrent la Région Grand Est</w:t>
      </w:r>
      <w:r w:rsidR="00356D40" w:rsidRPr="00953CF3">
        <w:t xml:space="preserve"> pour la période </w:t>
      </w:r>
      <w:r w:rsidRPr="00953CF3">
        <w:t>2021-2027</w:t>
      </w:r>
      <w:r w:rsidR="00356D40" w:rsidRPr="00953CF3">
        <w:t>, seul l</w:t>
      </w:r>
      <w:r w:rsidRPr="00953CF3">
        <w:t>e programme INTERREG VI A Rhin supérieur, qui couvre le territoire de l’ancienne région Alsace</w:t>
      </w:r>
      <w:r w:rsidR="00356D40" w:rsidRPr="00953CF3">
        <w:t xml:space="preserve"> ainsi que plusieurs régions de l’Allemagne et de la Suisse</w:t>
      </w:r>
      <w:r w:rsidRPr="00953CF3">
        <w:t xml:space="preserve">, </w:t>
      </w:r>
      <w:r w:rsidR="00356D40" w:rsidRPr="00953CF3">
        <w:t xml:space="preserve">semble pertinent. En effet, il </w:t>
      </w:r>
      <w:r w:rsidRPr="00953CF3">
        <w:t xml:space="preserve">comporte un objectif « Développer les systèmes, réseaux et équipements de stockage énergétiques intelligents en dehors du réseau transeuropéen d’énergie (RTE-E) ». </w:t>
      </w:r>
      <w:r w:rsidR="00356D40" w:rsidRPr="00953CF3">
        <w:t xml:space="preserve">D’autres programmes INTERREG (Europe du Nord-Ouest par exemple) </w:t>
      </w:r>
      <w:r w:rsidR="00517957" w:rsidRPr="00953CF3">
        <w:t xml:space="preserve">pourraient être intéressants car transnationaux et car il </w:t>
      </w:r>
      <w:r w:rsidR="00356D40" w:rsidRPr="00953CF3">
        <w:t xml:space="preserve">comporte des objectifs en lien avec l’énergie mais </w:t>
      </w:r>
      <w:r w:rsidR="00517957" w:rsidRPr="00953CF3">
        <w:t xml:space="preserve">ils </w:t>
      </w:r>
      <w:r w:rsidR="00356D40" w:rsidRPr="00953CF3">
        <w:t xml:space="preserve">ne sont pas axés spécifiquement sur le développement </w:t>
      </w:r>
      <w:r w:rsidR="00517957" w:rsidRPr="00953CF3">
        <w:t>de réseaux énergétiques.</w:t>
      </w:r>
    </w:p>
    <w:p w14:paraId="4C1C77D5" w14:textId="7A32C383" w:rsidR="00DE76FB" w:rsidRPr="00953CF3" w:rsidRDefault="00DE76FB" w:rsidP="00356D40">
      <w:pPr>
        <w:jc w:val="both"/>
      </w:pPr>
      <w:r w:rsidRPr="00953CF3">
        <w:t>Ces informations, sur les priorités et types de projet éligibles, seront toutefois à vérifier lors de la publication des Programmes opérationnels 2021-2027 définitifs.</w:t>
      </w:r>
    </w:p>
    <w:p w14:paraId="765671D8" w14:textId="77777777" w:rsidR="00736786" w:rsidRPr="00953CF3" w:rsidRDefault="00736786" w:rsidP="001D3018">
      <w:pPr>
        <w:jc w:val="both"/>
        <w:rPr>
          <w:i/>
          <w:iCs/>
        </w:rPr>
      </w:pPr>
    </w:p>
    <w:p w14:paraId="5DC300B0" w14:textId="77777777" w:rsidR="001411C4" w:rsidRDefault="004C3129" w:rsidP="001D3018">
      <w:pPr>
        <w:jc w:val="both"/>
        <w:rPr>
          <w:b/>
          <w:bCs/>
        </w:rPr>
      </w:pPr>
      <w:r w:rsidRPr="00953CF3">
        <w:rPr>
          <w:b/>
          <w:bCs/>
        </w:rPr>
        <w:t xml:space="preserve">Horizon Europe – </w:t>
      </w:r>
      <w:r w:rsidR="001411C4" w:rsidRPr="001411C4">
        <w:t xml:space="preserve">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w:t>
      </w:r>
    </w:p>
    <w:p w14:paraId="6A6FE217" w14:textId="1F88CA3B" w:rsidR="004C3129" w:rsidRPr="00953CF3" w:rsidRDefault="004C3129" w:rsidP="001411C4">
      <w:pPr>
        <w:pStyle w:val="Paragraphedeliste"/>
        <w:numPr>
          <w:ilvl w:val="0"/>
          <w:numId w:val="43"/>
        </w:numPr>
        <w:jc w:val="both"/>
      </w:pPr>
      <w:r w:rsidRPr="001411C4">
        <w:rPr>
          <w:b/>
          <w:bCs/>
        </w:rPr>
        <w:t>Cluster 5</w:t>
      </w:r>
      <w:r w:rsidRPr="00953CF3">
        <w:t> : le programme de travail 2021-2022 comprend plusieurs appels à projet visant à développer les réseaux transnationaux liés à l’énergie, notamment via la Destination « </w:t>
      </w:r>
      <w:proofErr w:type="spellStart"/>
      <w:r w:rsidRPr="001411C4">
        <w:rPr>
          <w:i/>
          <w:iCs/>
        </w:rPr>
        <w:t>Sustainable</w:t>
      </w:r>
      <w:proofErr w:type="spellEnd"/>
      <w:r w:rsidRPr="001411C4">
        <w:rPr>
          <w:i/>
          <w:iCs/>
        </w:rPr>
        <w:t xml:space="preserve">, </w:t>
      </w:r>
      <w:proofErr w:type="spellStart"/>
      <w:r w:rsidRPr="001411C4">
        <w:rPr>
          <w:i/>
          <w:iCs/>
        </w:rPr>
        <w:t>secure</w:t>
      </w:r>
      <w:proofErr w:type="spellEnd"/>
      <w:r w:rsidRPr="001411C4">
        <w:rPr>
          <w:i/>
          <w:iCs/>
        </w:rPr>
        <w:t xml:space="preserve"> and </w:t>
      </w:r>
      <w:proofErr w:type="spellStart"/>
      <w:r w:rsidRPr="001411C4">
        <w:rPr>
          <w:i/>
          <w:iCs/>
        </w:rPr>
        <w:t>competitive</w:t>
      </w:r>
      <w:proofErr w:type="spellEnd"/>
      <w:r w:rsidRPr="001411C4">
        <w:rPr>
          <w:i/>
          <w:iCs/>
        </w:rPr>
        <w:t xml:space="preserve"> </w:t>
      </w:r>
      <w:proofErr w:type="spellStart"/>
      <w:r w:rsidRPr="001411C4">
        <w:rPr>
          <w:i/>
          <w:iCs/>
        </w:rPr>
        <w:t>energy</w:t>
      </w:r>
      <w:proofErr w:type="spellEnd"/>
      <w:r w:rsidRPr="001411C4">
        <w:rPr>
          <w:i/>
          <w:iCs/>
        </w:rPr>
        <w:t xml:space="preserve"> </w:t>
      </w:r>
      <w:proofErr w:type="spellStart"/>
      <w:r w:rsidRPr="001411C4">
        <w:rPr>
          <w:i/>
          <w:iCs/>
        </w:rPr>
        <w:t>supply</w:t>
      </w:r>
      <w:proofErr w:type="spellEnd"/>
      <w:r w:rsidRPr="00953CF3">
        <w:t> » (p. 227 du programme de travail). Ces appels concernent par exemple la sécurisation des réseaux, le développement des prévisions/modélisation</w:t>
      </w:r>
      <w:r w:rsidR="004572BE" w:rsidRPr="00953CF3">
        <w:t>s</w:t>
      </w:r>
      <w:r w:rsidRPr="00953CF3">
        <w:t xml:space="preserve">, l’amélioration des synergies politiques, le développement des réseaux </w:t>
      </w:r>
      <w:r w:rsidR="001C3068" w:rsidRPr="00953CF3">
        <w:t xml:space="preserve">internationaux </w:t>
      </w:r>
      <w:r w:rsidRPr="00953CF3">
        <w:t>de bio</w:t>
      </w:r>
      <w:r w:rsidR="00763478" w:rsidRPr="00953CF3">
        <w:t>carburant</w:t>
      </w:r>
      <w:r w:rsidRPr="00953CF3">
        <w:t>s, etc.</w:t>
      </w:r>
    </w:p>
    <w:p w14:paraId="0D05D14A" w14:textId="5D5D74FC" w:rsidR="00E956E3" w:rsidRPr="00E876B9" w:rsidRDefault="00E956E3" w:rsidP="00E956E3">
      <w:pPr>
        <w:pStyle w:val="Titre1"/>
      </w:pPr>
      <w:bookmarkStart w:id="8" w:name="_Toc75420386"/>
      <w:r w:rsidRPr="00E876B9">
        <w:t>Projets de recherche et d’innovation</w:t>
      </w:r>
      <w:bookmarkEnd w:id="8"/>
    </w:p>
    <w:p w14:paraId="0E311BD7" w14:textId="1F5444DB" w:rsidR="00E956E3" w:rsidRPr="00953CF3" w:rsidRDefault="00E956E3" w:rsidP="001D3018">
      <w:pPr>
        <w:jc w:val="both"/>
      </w:pPr>
    </w:p>
    <w:p w14:paraId="2645D049" w14:textId="15AB86EF" w:rsidR="008B4E3D" w:rsidRPr="00953CF3" w:rsidRDefault="006E43DF" w:rsidP="001D3018">
      <w:pPr>
        <w:jc w:val="both"/>
      </w:pPr>
      <w:r w:rsidRPr="00953CF3">
        <w:rPr>
          <w:b/>
          <w:bCs/>
        </w:rPr>
        <w:t>Horizon Europe</w:t>
      </w:r>
      <w:r w:rsidR="008B4E3D" w:rsidRPr="00953CF3">
        <w:rPr>
          <w:b/>
          <w:bCs/>
        </w:rPr>
        <w:t> :</w:t>
      </w:r>
      <w:r w:rsidR="008B4E3D" w:rsidRPr="00953CF3">
        <w:t xml:space="preserve"> Les énergies renouvelables sont abordé</w:t>
      </w:r>
      <w:r w:rsidR="00B65017">
        <w:t>e</w:t>
      </w:r>
      <w:r w:rsidR="008B4E3D" w:rsidRPr="00953CF3">
        <w:t>s à la fois par le Cluster 4, le Cluster 5 et le pilier III – EIC du programme Horizon Europe.</w:t>
      </w:r>
    </w:p>
    <w:p w14:paraId="0E004ACB" w14:textId="77777777" w:rsidR="000878F5" w:rsidRPr="00953CF3" w:rsidRDefault="008B4E3D" w:rsidP="000878F5">
      <w:pPr>
        <w:pStyle w:val="Paragraphedeliste"/>
        <w:numPr>
          <w:ilvl w:val="0"/>
          <w:numId w:val="41"/>
        </w:numPr>
        <w:jc w:val="both"/>
        <w:rPr>
          <w:i/>
          <w:iCs/>
        </w:rPr>
      </w:pPr>
      <w:r w:rsidRPr="00953CF3">
        <w:t xml:space="preserve">Le </w:t>
      </w:r>
      <w:r w:rsidRPr="00953CF3">
        <w:rPr>
          <w:b/>
          <w:bCs/>
        </w:rPr>
        <w:t xml:space="preserve">cluster 4 </w:t>
      </w:r>
      <w:r w:rsidRPr="00953CF3">
        <w:t xml:space="preserve">vise principalement les </w:t>
      </w:r>
      <w:r w:rsidR="00145E9E" w:rsidRPr="00953CF3">
        <w:t>ENR</w:t>
      </w:r>
      <w:r w:rsidRPr="00953CF3">
        <w:t xml:space="preserve"> dans un but de décarbonation de l’industrie. Dans ce programme on va donc trouver des appels visant à financer des projets internationaux de développement de nouvelles technologies ou de nouveaux process permettant d’électrifier/d’approvisionner les </w:t>
      </w:r>
      <w:r w:rsidR="00145E9E" w:rsidRPr="00953CF3">
        <w:t>industries</w:t>
      </w:r>
      <w:r w:rsidRPr="00953CF3">
        <w:t xml:space="preserve"> en énergies renouvelables. Ce cluster vise principalement les EII (« </w:t>
      </w:r>
      <w:proofErr w:type="spellStart"/>
      <w:r w:rsidRPr="00953CF3">
        <w:rPr>
          <w:i/>
          <w:iCs/>
        </w:rPr>
        <w:t>Electricity</w:t>
      </w:r>
      <w:proofErr w:type="spellEnd"/>
      <w:r w:rsidRPr="00953CF3">
        <w:rPr>
          <w:i/>
          <w:iCs/>
        </w:rPr>
        <w:t xml:space="preserve"> Intensive Industries</w:t>
      </w:r>
      <w:r w:rsidRPr="00953CF3">
        <w:t> ») : béton, papier, acier, etc. mais pas uniquement.</w:t>
      </w:r>
    </w:p>
    <w:p w14:paraId="2128D0D2" w14:textId="77777777" w:rsidR="000878F5" w:rsidRPr="00953CF3" w:rsidRDefault="008B4E3D" w:rsidP="000878F5">
      <w:pPr>
        <w:pStyle w:val="Paragraphedeliste"/>
        <w:numPr>
          <w:ilvl w:val="0"/>
          <w:numId w:val="41"/>
        </w:numPr>
        <w:jc w:val="both"/>
        <w:rPr>
          <w:i/>
          <w:iCs/>
        </w:rPr>
      </w:pPr>
      <w:r w:rsidRPr="00953CF3">
        <w:t xml:space="preserve">Le </w:t>
      </w:r>
      <w:r w:rsidRPr="00953CF3">
        <w:rPr>
          <w:b/>
          <w:bCs/>
        </w:rPr>
        <w:t>cluster 5</w:t>
      </w:r>
      <w:r w:rsidRPr="00953CF3">
        <w:t xml:space="preserve"> vise principalement le développement nouvelles technologies ou l’amélioration des technologies existantes via des partenariats internationaux et l’implication de toutes les parties prenantes dans la chaine de valeur. </w:t>
      </w:r>
      <w:r w:rsidR="00763478" w:rsidRPr="00953CF3">
        <w:t>Ces projets visent à développer les nouvelles énergies (hydrogènes, biocarburants, photovoltaïques nouvelle génération, etc.), leurs réseaux, les politiques et règlements associés, etc.</w:t>
      </w:r>
      <w:r w:rsidR="000878F5" w:rsidRPr="00953CF3">
        <w:t xml:space="preserve"> Il est à noter qu’un appel spécifique visant le développement de la géothermie, y compris la réduction des risques sismiques et l’engagement citoyen, est compris dans ce cluster.</w:t>
      </w:r>
    </w:p>
    <w:p w14:paraId="715CFA63" w14:textId="58FDF18F" w:rsidR="008B4E3D" w:rsidRPr="00953CF3" w:rsidRDefault="008B4E3D" w:rsidP="000878F5">
      <w:pPr>
        <w:pStyle w:val="Paragraphedeliste"/>
        <w:numPr>
          <w:ilvl w:val="0"/>
          <w:numId w:val="41"/>
        </w:numPr>
        <w:jc w:val="both"/>
        <w:rPr>
          <w:i/>
          <w:iCs/>
        </w:rPr>
      </w:pPr>
      <w:r w:rsidRPr="00953CF3">
        <w:rPr>
          <w:b/>
          <w:bCs/>
        </w:rPr>
        <w:t>L’instrument EIC</w:t>
      </w:r>
      <w:r w:rsidRPr="00953CF3">
        <w:t xml:space="preserve"> du pilier III est un instrument </w:t>
      </w:r>
      <w:r w:rsidR="00FE0A74" w:rsidRPr="00953CF3">
        <w:t>à</w:t>
      </w:r>
      <w:r w:rsidRPr="00953CF3">
        <w:t xml:space="preserve"> destination principalement des PME et start-up (70% du budget leur est dédié) afin de soutenir des projets sur toute leur échelle de développement (TRL 3 à 9), sur des sujets ouverts, visant principalement à développer des innovations disruptives permettant de créer de nouveaux marchés et de soutenir l’excellence européenne.</w:t>
      </w:r>
    </w:p>
    <w:p w14:paraId="0F5AD5E3" w14:textId="2ACC102D" w:rsidR="006E43DF" w:rsidRPr="00953CF3" w:rsidRDefault="006E43DF" w:rsidP="001D3018">
      <w:pPr>
        <w:jc w:val="both"/>
      </w:pPr>
    </w:p>
    <w:p w14:paraId="602023B7" w14:textId="5436915A" w:rsidR="000009E7" w:rsidRPr="00953CF3" w:rsidRDefault="00CD49B4" w:rsidP="001D3018">
      <w:pPr>
        <w:jc w:val="both"/>
        <w:rPr>
          <w:b/>
          <w:bCs/>
        </w:rPr>
      </w:pPr>
      <w:r w:rsidRPr="00953CF3">
        <w:rPr>
          <w:b/>
          <w:bCs/>
        </w:rPr>
        <w:lastRenderedPageBreak/>
        <w:t>LIFE :</w:t>
      </w:r>
      <w:r w:rsidRPr="00953CF3">
        <w:t xml:space="preserve"> le programme LIFE finance par des subventions des projets innovants dotés d’une certaine maturité technologique (à partir du TRL 6 environ) dans le domaine de l’environnement et du climat. </w:t>
      </w:r>
      <w:r w:rsidR="0080242E" w:rsidRPr="00953CF3">
        <w:t>Son nouveau volet « Transition énergétique propre » attendu en 2021, devrait financer des projets en lien avec le développement des énergies renouvelables et de récupération.</w:t>
      </w:r>
    </w:p>
    <w:p w14:paraId="0C19570D" w14:textId="77777777" w:rsidR="00CD49B4" w:rsidRPr="00953CF3" w:rsidRDefault="00CD49B4" w:rsidP="001D3018">
      <w:pPr>
        <w:jc w:val="both"/>
      </w:pPr>
    </w:p>
    <w:p w14:paraId="3A65D807" w14:textId="220B9EFD" w:rsidR="004700B0" w:rsidRPr="00953CF3" w:rsidRDefault="004700B0" w:rsidP="001D3018">
      <w:pPr>
        <w:jc w:val="both"/>
      </w:pPr>
      <w:r w:rsidRPr="00953CF3">
        <w:rPr>
          <w:b/>
          <w:bCs/>
        </w:rPr>
        <w:t>UIA </w:t>
      </w:r>
      <w:r w:rsidRPr="00953CF3">
        <w:t xml:space="preserve">: le but même de ce programme est d’aider les autorités urbaines à résoudre des problématiques propres à ces milieux via le financement de la « prise de risque » que représente le une innovation. Le but est ici d’aider les autorités urbaines à développer des solutions nouvelles. La question des énergies renouvelables fait l’objet d’une thématique dédiée « Transition énergétique ». Un projet UIA doit obligatoirement être porté par une autorité urbaine (ville, métropole, communauté de commune etc.) de plus de 50 000 habitants. </w:t>
      </w:r>
    </w:p>
    <w:p w14:paraId="1799D046" w14:textId="77777777" w:rsidR="004700B0" w:rsidRPr="00953CF3" w:rsidRDefault="004700B0" w:rsidP="001D3018">
      <w:pPr>
        <w:jc w:val="both"/>
        <w:rPr>
          <w:b/>
          <w:bCs/>
        </w:rPr>
      </w:pPr>
    </w:p>
    <w:p w14:paraId="36864331" w14:textId="4BA51816" w:rsidR="006E43DF" w:rsidRPr="00953CF3" w:rsidRDefault="00CD49B4" w:rsidP="001D3018">
      <w:pPr>
        <w:jc w:val="both"/>
      </w:pPr>
      <w:r w:rsidRPr="00953CF3">
        <w:rPr>
          <w:b/>
          <w:bCs/>
        </w:rPr>
        <w:t xml:space="preserve">Fonds pour l’innovation ou </w:t>
      </w:r>
      <w:r w:rsidRPr="00953CF3">
        <w:rPr>
          <w:b/>
          <w:bCs/>
          <w:i/>
          <w:iCs/>
        </w:rPr>
        <w:t xml:space="preserve">Innovation </w:t>
      </w:r>
      <w:proofErr w:type="spellStart"/>
      <w:r w:rsidRPr="00953CF3">
        <w:rPr>
          <w:b/>
          <w:bCs/>
          <w:i/>
          <w:iCs/>
        </w:rPr>
        <w:t>Fund</w:t>
      </w:r>
      <w:proofErr w:type="spellEnd"/>
      <w:r w:rsidRPr="00953CF3">
        <w:rPr>
          <w:b/>
          <w:bCs/>
        </w:rPr>
        <w:t> :</w:t>
      </w:r>
      <w:r w:rsidR="00AF2A52" w:rsidRPr="00953CF3">
        <w:t xml:space="preserve"> le Fonds pour l’innovation finance des projets phares hautement innovants permettant de réduire de manière significative les émissions de gaz à effet de serre, notamment dans le domaine des technologies bas carbone pour les industries à forte intensité énergétique, les énergies renouvelables, le captage, l’utilisation et le stockage du carbone et le stockage de l’énergie. Il s’adresse à des innovations suffisamment matures pour être mises sur le marché pendant la durée du projet.</w:t>
      </w:r>
    </w:p>
    <w:p w14:paraId="75BAEE48" w14:textId="77777777" w:rsidR="006E43DF" w:rsidRPr="00953CF3" w:rsidRDefault="006E43DF" w:rsidP="001D3018">
      <w:pPr>
        <w:jc w:val="both"/>
      </w:pPr>
    </w:p>
    <w:p w14:paraId="359C5F29" w14:textId="655DC37B" w:rsidR="0080242E" w:rsidRDefault="00274134" w:rsidP="00274134">
      <w:pPr>
        <w:jc w:val="both"/>
      </w:pPr>
      <w:r w:rsidRPr="00953CF3">
        <w:rPr>
          <w:b/>
          <w:bCs/>
        </w:rPr>
        <w:t>Banque européenne d’investissement</w:t>
      </w:r>
      <w:r w:rsidR="00AF2A52" w:rsidRPr="00953CF3">
        <w:rPr>
          <w:b/>
          <w:bCs/>
        </w:rPr>
        <w:t xml:space="preserve"> (BEI)</w:t>
      </w:r>
      <w:r w:rsidRPr="00953CF3">
        <w:rPr>
          <w:b/>
          <w:bCs/>
        </w:rPr>
        <w:t xml:space="preserve"> : </w:t>
      </w:r>
      <w:r w:rsidR="00AF2A52" w:rsidRPr="00953CF3">
        <w:t>l’instrument dédié de la BEI,</w:t>
      </w:r>
      <w:r w:rsidR="00AF2A52" w:rsidRPr="00953CF3">
        <w:rPr>
          <w:b/>
          <w:bCs/>
        </w:rPr>
        <w:t xml:space="preserve"> </w:t>
      </w:r>
      <w:r w:rsidR="00AF2A52" w:rsidRPr="00953CF3">
        <w:rPr>
          <w:i/>
          <w:iCs/>
        </w:rPr>
        <w:t xml:space="preserve">InnovFin Energy </w:t>
      </w:r>
      <w:proofErr w:type="spellStart"/>
      <w:r w:rsidR="00AF2A52" w:rsidRPr="00953CF3">
        <w:rPr>
          <w:i/>
          <w:iCs/>
        </w:rPr>
        <w:t>Demo</w:t>
      </w:r>
      <w:proofErr w:type="spellEnd"/>
      <w:r w:rsidR="00AF2A52" w:rsidRPr="00953CF3">
        <w:rPr>
          <w:i/>
          <w:iCs/>
        </w:rPr>
        <w:t xml:space="preserve"> </w:t>
      </w:r>
      <w:proofErr w:type="spellStart"/>
      <w:r w:rsidR="00AF2A52" w:rsidRPr="00953CF3">
        <w:rPr>
          <w:i/>
          <w:iCs/>
        </w:rPr>
        <w:t>Projects</w:t>
      </w:r>
      <w:proofErr w:type="spellEnd"/>
      <w:r w:rsidR="00AF2A52" w:rsidRPr="00953CF3">
        <w:t>, appuie des projets de démonstration liés à l’énergie. Il doit s’agir de projets très innovants en phase pré-commerciale. InnovFin propose des financements</w:t>
      </w:r>
      <w:r w:rsidR="00AF2A52">
        <w:t xml:space="preserve"> sous la forme de prêts, garanties ou apports en fonds propres, mais aussi des services de conseil pour les </w:t>
      </w:r>
      <w:r w:rsidR="00972DC4">
        <w:t>projets</w:t>
      </w:r>
      <w:r w:rsidR="00AF2A52">
        <w:t xml:space="preserve"> qui ne seraient pas encore prêts pour l’instruction de leur financement.</w:t>
      </w:r>
    </w:p>
    <w:p w14:paraId="2A3A62AC" w14:textId="59214104" w:rsidR="0080242E" w:rsidRDefault="0080242E" w:rsidP="00E876B9">
      <w:pPr>
        <w:pStyle w:val="Titre1"/>
      </w:pPr>
      <w:bookmarkStart w:id="9" w:name="_Toc74747605"/>
      <w:bookmarkStart w:id="10" w:name="_Toc75420387"/>
      <w:r>
        <w:t>A savoir</w:t>
      </w:r>
      <w:bookmarkEnd w:id="9"/>
      <w:bookmarkEnd w:id="10"/>
    </w:p>
    <w:p w14:paraId="3FC09021" w14:textId="77777777" w:rsidR="00692B58" w:rsidRDefault="0080242E" w:rsidP="002607A1">
      <w:r>
        <w:t xml:space="preserve">En plus de ces programmes de financement spécifiques, d’autres initiatives existent qui pourraient permettre de financer des projets liés </w:t>
      </w:r>
      <w:r w:rsidR="006D7F84">
        <w:t>aux énergies renouvelables et de récupération</w:t>
      </w:r>
      <w:r w:rsidR="002607A1">
        <w:t>.</w:t>
      </w:r>
    </w:p>
    <w:p w14:paraId="3CF02991" w14:textId="0605FACB" w:rsidR="002607A1" w:rsidRDefault="002607A1" w:rsidP="002607A1"/>
    <w:p w14:paraId="0C71744D" w14:textId="1C10BCFB" w:rsidR="002607A1" w:rsidRDefault="002607A1" w:rsidP="002607A1">
      <w:pPr>
        <w:pStyle w:val="Paragraphedeliste"/>
        <w:numPr>
          <w:ilvl w:val="0"/>
          <w:numId w:val="28"/>
        </w:numPr>
        <w:jc w:val="both"/>
      </w:pPr>
      <w:r>
        <w:t xml:space="preserve">Dans le cadre du plan de relance </w:t>
      </w:r>
      <w:r w:rsidRPr="00007E86">
        <w:rPr>
          <w:i/>
          <w:iCs/>
        </w:rPr>
        <w:t xml:space="preserve">Next </w:t>
      </w:r>
      <w:proofErr w:type="spellStart"/>
      <w:r w:rsidRPr="00007E86">
        <w:rPr>
          <w:i/>
          <w:iCs/>
        </w:rPr>
        <w:t>Generation</w:t>
      </w:r>
      <w:proofErr w:type="spellEnd"/>
      <w:r w:rsidRPr="00007E86">
        <w:rPr>
          <w:i/>
          <w:iCs/>
        </w:rPr>
        <w:t xml:space="preserve"> EU</w:t>
      </w:r>
      <w:r>
        <w:t xml:space="preserve"> par exemple, et surtout de son initiative phare « Facilité pour la relance et la résilience » des objectifs qualitatifs et quantitatifs ont été fixés par les plans nationaux de relance, que l’Etat sera obligé d’atteindre s’il souhaite obtenir les financements liés. Dans le cadre du plan national de relance français, plusieurs dispositions concerne</w:t>
      </w:r>
      <w:r w:rsidR="00111A76">
        <w:t>nt</w:t>
      </w:r>
      <w:r>
        <w:t xml:space="preserve"> le secteur des énergies renouvelables, et notamment l’hydrogène. Le plan national français peut être trouvé </w:t>
      </w:r>
      <w:hyperlink r:id="rId9" w:history="1">
        <w:r w:rsidRPr="00EF7BA3">
          <w:rPr>
            <w:rStyle w:val="Lienhypertexte"/>
          </w:rPr>
          <w:t>ici</w:t>
        </w:r>
      </w:hyperlink>
      <w:r>
        <w:t>.</w:t>
      </w:r>
    </w:p>
    <w:p w14:paraId="778773CE" w14:textId="77777777" w:rsidR="002607A1" w:rsidRDefault="002607A1" w:rsidP="002607A1">
      <w:pPr>
        <w:pStyle w:val="Paragraphedeliste"/>
        <w:jc w:val="both"/>
      </w:pPr>
      <w:bookmarkStart w:id="11" w:name="_Hlk75085571"/>
      <w:r>
        <w:t>La France devrait ainsi recevoir 40 milliards d’euros de subvention au titre de la Facilité, qui participeront au financement des 100 milliards d’euros du plan France Relance.</w:t>
      </w:r>
    </w:p>
    <w:p w14:paraId="22728AC4" w14:textId="77777777" w:rsidR="002607A1" w:rsidRDefault="002607A1" w:rsidP="002607A1">
      <w:pPr>
        <w:pStyle w:val="Paragraphedeliste"/>
        <w:jc w:val="both"/>
      </w:pPr>
    </w:p>
    <w:p w14:paraId="57B400A8" w14:textId="2A6D9CEE" w:rsidR="002607A1" w:rsidRDefault="002607A1" w:rsidP="00AB686F">
      <w:pPr>
        <w:pStyle w:val="Paragraphedeliste"/>
        <w:numPr>
          <w:ilvl w:val="0"/>
          <w:numId w:val="28"/>
        </w:numPr>
        <w:jc w:val="both"/>
      </w:pPr>
      <w:r>
        <w:t xml:space="preserve">Le Fonds de Transition Juste, nouvelle composante intégrée au Programme opérationnel FEDER-FSE (désormais FEDER-FTJ-FSE+), vise à </w:t>
      </w:r>
      <w:r w:rsidRPr="00E012DB">
        <w:rPr>
          <w:rFonts w:ascii="Calibri" w:hAnsi="Calibri" w:cs="Calibri"/>
        </w:rPr>
        <w:t xml:space="preserve">accompagner les départements de Moselle, Meurthe-et-Moselle et Haut-Rhin dans leur reconversion économique via des investissements dans les entreprises, le soutien à la recherche et à l’innovation, les énergies propres et l’économie circulaire. Les investissements dans des infrastructures pour des énergies propres et plus abordables, </w:t>
      </w:r>
      <w:r w:rsidR="00FA6E48" w:rsidRPr="00E012DB">
        <w:rPr>
          <w:rFonts w:ascii="Calibri" w:hAnsi="Calibri" w:cs="Calibri"/>
        </w:rPr>
        <w:t xml:space="preserve">et dans les énergies renouvelables pourront bénéficier d’un appui du FTJ. Plus d’informations </w:t>
      </w:r>
      <w:hyperlink r:id="rId10" w:history="1">
        <w:r w:rsidR="00FA6E48" w:rsidRPr="00E012DB">
          <w:rPr>
            <w:rStyle w:val="Lienhypertexte"/>
            <w:rFonts w:ascii="Calibri" w:hAnsi="Calibri" w:cs="Calibri"/>
          </w:rPr>
          <w:t>ici</w:t>
        </w:r>
      </w:hyperlink>
      <w:r w:rsidR="00FA6E48" w:rsidRPr="00E012DB">
        <w:rPr>
          <w:rFonts w:ascii="Calibri" w:hAnsi="Calibri" w:cs="Calibri"/>
        </w:rPr>
        <w:t xml:space="preserve">. </w:t>
      </w:r>
      <w:bookmarkEnd w:id="11"/>
      <w:r w:rsidR="00E012DB">
        <w:t>(</w:t>
      </w:r>
      <w:r w:rsidR="00E012DB" w:rsidRPr="00E012DB">
        <w:rPr>
          <w:i/>
          <w:iCs/>
        </w:rPr>
        <w:t>NB : à la date d’établissement de cette fiche – juin 2021 – les documents définitifs ne sont pas encore adoptés, ces informations sont sujettes à modification</w:t>
      </w:r>
      <w:r w:rsidR="00E012DB">
        <w:t>.)</w:t>
      </w:r>
    </w:p>
    <w:p w14:paraId="71E1B4DB" w14:textId="46424C72" w:rsidR="002607A1" w:rsidRDefault="002607A1" w:rsidP="002607A1"/>
    <w:p w14:paraId="787B7E10" w14:textId="63B85133" w:rsidR="00EE460B" w:rsidRDefault="00EE460B" w:rsidP="00EE460B">
      <w:pPr>
        <w:pStyle w:val="Paragraphedeliste"/>
        <w:numPr>
          <w:ilvl w:val="0"/>
          <w:numId w:val="28"/>
        </w:numPr>
        <w:jc w:val="both"/>
      </w:pPr>
      <w:r>
        <w:t xml:space="preserve">Le fonds public privé </w:t>
      </w:r>
      <w:hyperlink r:id="rId11" w:history="1">
        <w:proofErr w:type="spellStart"/>
        <w:r w:rsidRPr="00EE460B">
          <w:rPr>
            <w:rStyle w:val="Lienhypertexte"/>
            <w:i/>
            <w:iCs/>
          </w:rPr>
          <w:t>European</w:t>
        </w:r>
        <w:proofErr w:type="spellEnd"/>
        <w:r w:rsidRPr="00EE460B">
          <w:rPr>
            <w:rStyle w:val="Lienhypertexte"/>
            <w:i/>
            <w:iCs/>
          </w:rPr>
          <w:t xml:space="preserve"> Energy </w:t>
        </w:r>
        <w:proofErr w:type="spellStart"/>
        <w:r w:rsidRPr="00EE460B">
          <w:rPr>
            <w:rStyle w:val="Lienhypertexte"/>
            <w:i/>
            <w:iCs/>
          </w:rPr>
          <w:t>Efficiency</w:t>
        </w:r>
        <w:proofErr w:type="spellEnd"/>
        <w:r w:rsidRPr="00EE460B">
          <w:rPr>
            <w:rStyle w:val="Lienhypertexte"/>
            <w:i/>
            <w:iCs/>
          </w:rPr>
          <w:t xml:space="preserve"> </w:t>
        </w:r>
        <w:proofErr w:type="spellStart"/>
        <w:r w:rsidRPr="00EE460B">
          <w:rPr>
            <w:rStyle w:val="Lienhypertexte"/>
            <w:i/>
            <w:iCs/>
          </w:rPr>
          <w:t>Fund</w:t>
        </w:r>
        <w:proofErr w:type="spellEnd"/>
      </w:hyperlink>
      <w:r>
        <w:t xml:space="preserve"> alimenté par la Commission européenne, la Banque européenne d’investissement ainsi que des partenaires privés, finance également des projets dans le domaine de l’efficacité énergétique et des énergies renouvelables. Il peut financer des acteurs publics (villes – comme la Ville de Rennes – universités…) comme privés pour leurs démarches dans ces domaines, notamment via des prêts ou apports en capitaux.</w:t>
      </w:r>
    </w:p>
    <w:p w14:paraId="7F038CED" w14:textId="77777777" w:rsidR="00EE460B" w:rsidRDefault="00EE460B" w:rsidP="002607A1"/>
    <w:p w14:paraId="1AEE6D07" w14:textId="77777777" w:rsidR="00EE460B" w:rsidRDefault="00EE460B" w:rsidP="002607A1"/>
    <w:p w14:paraId="4A02BBF9" w14:textId="1E937B50" w:rsidR="00EE460B" w:rsidRPr="002607A1" w:rsidRDefault="00EE460B" w:rsidP="00EE460B">
      <w:pPr>
        <w:pStyle w:val="Paragraphedeliste"/>
        <w:numPr>
          <w:ilvl w:val="0"/>
          <w:numId w:val="28"/>
        </w:numPr>
        <w:sectPr w:rsidR="00EE460B" w:rsidRPr="002607A1" w:rsidSect="009C7144">
          <w:headerReference w:type="default" r:id="rId12"/>
          <w:footerReference w:type="even" r:id="rId13"/>
          <w:footerReference w:type="default" r:id="rId14"/>
          <w:pgSz w:w="11900" w:h="16840"/>
          <w:pgMar w:top="1276" w:right="985" w:bottom="851" w:left="1134" w:header="709" w:footer="709" w:gutter="0"/>
          <w:cols w:space="708"/>
          <w:docGrid w:linePitch="360"/>
        </w:sectPr>
      </w:pPr>
    </w:p>
    <w:p w14:paraId="5C4FE351" w14:textId="77777777" w:rsidR="0080242E" w:rsidRPr="0080242E" w:rsidRDefault="0080242E" w:rsidP="0080242E">
      <w:pPr>
        <w:pStyle w:val="EnvTitreparagraphe"/>
        <w:numPr>
          <w:ilvl w:val="0"/>
          <w:numId w:val="0"/>
        </w:numPr>
        <w:ind w:left="360"/>
        <w:rPr>
          <w:color w:val="auto"/>
          <w:u w:val="single"/>
        </w:rPr>
      </w:pPr>
      <w:r w:rsidRPr="0080242E">
        <w:rPr>
          <w:color w:val="auto"/>
          <w:u w:val="single"/>
        </w:rPr>
        <w:lastRenderedPageBreak/>
        <w:t xml:space="preserve">Un benchmark des projets financés sur ce sujet peut être trouvé </w:t>
      </w:r>
      <w:commentRangeStart w:id="12"/>
      <w:r w:rsidRPr="0080242E">
        <w:rPr>
          <w:color w:val="auto"/>
          <w:u w:val="single"/>
        </w:rPr>
        <w:t>ici</w:t>
      </w:r>
      <w:commentRangeEnd w:id="12"/>
      <w:r w:rsidRPr="0080242E">
        <w:rPr>
          <w:rStyle w:val="Marquedecommentaire"/>
          <w:color w:val="auto"/>
          <w:u w:val="single"/>
        </w:rPr>
        <w:commentReference w:id="12"/>
      </w:r>
      <w:r w:rsidRPr="0080242E">
        <w:rPr>
          <w:color w:val="auto"/>
          <w:u w:val="single"/>
        </w:rPr>
        <w:t>. Voici un résumé :</w:t>
      </w:r>
    </w:p>
    <w:tbl>
      <w:tblPr>
        <w:tblStyle w:val="TableauGrille5Fonc-Accentuation41"/>
        <w:tblW w:w="15593" w:type="dxa"/>
        <w:tblInd w:w="-572" w:type="dxa"/>
        <w:tblLook w:val="0620" w:firstRow="1" w:lastRow="0" w:firstColumn="0" w:lastColumn="0" w:noHBand="1" w:noVBand="1"/>
      </w:tblPr>
      <w:tblGrid>
        <w:gridCol w:w="2694"/>
        <w:gridCol w:w="2126"/>
        <w:gridCol w:w="4678"/>
        <w:gridCol w:w="2409"/>
        <w:gridCol w:w="2410"/>
        <w:gridCol w:w="1276"/>
      </w:tblGrid>
      <w:tr w:rsidR="00692B58" w:rsidRPr="00692B58" w14:paraId="4B5CE253" w14:textId="77777777" w:rsidTr="00692B58">
        <w:trPr>
          <w:cnfStyle w:val="100000000000" w:firstRow="1" w:lastRow="0" w:firstColumn="0" w:lastColumn="0" w:oddVBand="0" w:evenVBand="0" w:oddHBand="0" w:evenHBand="0" w:firstRowFirstColumn="0" w:firstRowLastColumn="0" w:lastRowFirstColumn="0" w:lastRowLastColumn="0"/>
          <w:tblHeader/>
        </w:trPr>
        <w:tc>
          <w:tcPr>
            <w:tcW w:w="2694" w:type="dxa"/>
            <w:vAlign w:val="center"/>
          </w:tcPr>
          <w:p w14:paraId="1861DFB8"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Sous-domaine à enjeux</w:t>
            </w:r>
          </w:p>
        </w:tc>
        <w:tc>
          <w:tcPr>
            <w:tcW w:w="2126" w:type="dxa"/>
            <w:vAlign w:val="center"/>
          </w:tcPr>
          <w:p w14:paraId="7DD04C50"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Programme</w:t>
            </w:r>
          </w:p>
        </w:tc>
        <w:tc>
          <w:tcPr>
            <w:tcW w:w="4678" w:type="dxa"/>
            <w:vAlign w:val="center"/>
          </w:tcPr>
          <w:p w14:paraId="3B0C9B4A"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Intitulé du projet et référence</w:t>
            </w:r>
          </w:p>
        </w:tc>
        <w:tc>
          <w:tcPr>
            <w:tcW w:w="2409" w:type="dxa"/>
            <w:vAlign w:val="center"/>
          </w:tcPr>
          <w:p w14:paraId="6DAE3408"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Chef de file</w:t>
            </w:r>
          </w:p>
        </w:tc>
        <w:tc>
          <w:tcPr>
            <w:tcW w:w="2410" w:type="dxa"/>
            <w:vAlign w:val="center"/>
          </w:tcPr>
          <w:p w14:paraId="4F0F020E"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Contribution européenne</w:t>
            </w:r>
          </w:p>
        </w:tc>
        <w:tc>
          <w:tcPr>
            <w:tcW w:w="1276" w:type="dxa"/>
            <w:vAlign w:val="center"/>
          </w:tcPr>
          <w:p w14:paraId="0DCEA356"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Site internet</w:t>
            </w:r>
          </w:p>
        </w:tc>
      </w:tr>
      <w:tr w:rsidR="00692B58" w:rsidRPr="00692B58" w14:paraId="38181A61" w14:textId="77777777" w:rsidTr="00692B58">
        <w:tc>
          <w:tcPr>
            <w:tcW w:w="15593" w:type="dxa"/>
            <w:gridSpan w:val="6"/>
            <w:shd w:val="clear" w:color="auto" w:fill="B2A1C7"/>
            <w:vAlign w:val="center"/>
          </w:tcPr>
          <w:p w14:paraId="7B4F9BC7" w14:textId="77777777" w:rsidR="00692B58" w:rsidRPr="00692B58" w:rsidRDefault="00692B58" w:rsidP="00692B58">
            <w:pPr>
              <w:autoSpaceDE w:val="0"/>
              <w:autoSpaceDN w:val="0"/>
              <w:adjustRightInd w:val="0"/>
              <w:jc w:val="center"/>
              <w:rPr>
                <w:rFonts w:ascii="Calibri" w:hAnsi="Calibri" w:cs="Calibri"/>
                <w:b/>
                <w:bCs/>
              </w:rPr>
            </w:pPr>
            <w:r w:rsidRPr="00692B58">
              <w:rPr>
                <w:rFonts w:ascii="Calibri" w:hAnsi="Calibri" w:cs="Calibri"/>
                <w:b/>
                <w:bCs/>
              </w:rPr>
              <w:t>Energies renouvelables et de récupération</w:t>
            </w:r>
          </w:p>
        </w:tc>
      </w:tr>
      <w:tr w:rsidR="00692B58" w:rsidRPr="00692B58" w14:paraId="21F00922" w14:textId="77777777" w:rsidTr="00692B58">
        <w:tc>
          <w:tcPr>
            <w:tcW w:w="2694" w:type="dxa"/>
            <w:vMerge w:val="restart"/>
            <w:vAlign w:val="center"/>
          </w:tcPr>
          <w:p w14:paraId="0FB8C319" w14:textId="77777777" w:rsidR="00692B58" w:rsidRPr="00692B58" w:rsidRDefault="00692B58" w:rsidP="00692B58">
            <w:pPr>
              <w:autoSpaceDE w:val="0"/>
              <w:autoSpaceDN w:val="0"/>
              <w:adjustRightInd w:val="0"/>
              <w:rPr>
                <w:rFonts w:ascii="Calibri" w:hAnsi="Calibri" w:cs="Calibri"/>
                <w:b/>
                <w:bCs/>
              </w:rPr>
            </w:pPr>
            <w:r w:rsidRPr="00692B58">
              <w:rPr>
                <w:rFonts w:ascii="Calibri" w:hAnsi="Calibri" w:cs="Calibri"/>
                <w:b/>
                <w:bCs/>
              </w:rPr>
              <w:t xml:space="preserve">Développement d'écosystèmes énergétiques complets &amp; </w:t>
            </w:r>
            <w:proofErr w:type="spellStart"/>
            <w:r w:rsidRPr="00692B58">
              <w:rPr>
                <w:rFonts w:ascii="Calibri" w:hAnsi="Calibri" w:cs="Calibri"/>
                <w:b/>
                <w:bCs/>
              </w:rPr>
              <w:t>smart-grids</w:t>
            </w:r>
            <w:proofErr w:type="spellEnd"/>
          </w:p>
        </w:tc>
        <w:tc>
          <w:tcPr>
            <w:tcW w:w="2126" w:type="dxa"/>
            <w:vAlign w:val="center"/>
          </w:tcPr>
          <w:p w14:paraId="3E2150FA"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Urban Innovative Action</w:t>
            </w:r>
          </w:p>
        </w:tc>
        <w:tc>
          <w:tcPr>
            <w:tcW w:w="4678" w:type="dxa"/>
            <w:vAlign w:val="center"/>
          </w:tcPr>
          <w:p w14:paraId="1F2C57D2" w14:textId="77777777" w:rsidR="00692B58" w:rsidRPr="00692B58" w:rsidRDefault="00692B58" w:rsidP="00692B58">
            <w:pPr>
              <w:autoSpaceDE w:val="0"/>
              <w:autoSpaceDN w:val="0"/>
              <w:adjustRightInd w:val="0"/>
              <w:rPr>
                <w:rFonts w:ascii="Calibri" w:hAnsi="Calibri" w:cs="Calibri"/>
                <w:lang w:val="en-US"/>
              </w:rPr>
            </w:pPr>
            <w:proofErr w:type="spellStart"/>
            <w:r w:rsidRPr="00692B58">
              <w:rPr>
                <w:rFonts w:ascii="Calibri" w:hAnsi="Calibri" w:cs="Calibri"/>
                <w:lang w:val="en-US"/>
              </w:rPr>
              <w:t>CoRDEES</w:t>
            </w:r>
            <w:proofErr w:type="spellEnd"/>
            <w:r w:rsidRPr="00692B58">
              <w:rPr>
                <w:rFonts w:ascii="Calibri" w:hAnsi="Calibri" w:cs="Calibri"/>
                <w:lang w:val="en-US"/>
              </w:rPr>
              <w:t xml:space="preserve"> - Co-Responsibility in District Energy Efficiency &amp; Sustainability</w:t>
            </w:r>
          </w:p>
        </w:tc>
        <w:tc>
          <w:tcPr>
            <w:tcW w:w="2409" w:type="dxa"/>
            <w:vAlign w:val="center"/>
          </w:tcPr>
          <w:p w14:paraId="0331D455"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Ville de Paris</w:t>
            </w:r>
          </w:p>
        </w:tc>
        <w:tc>
          <w:tcPr>
            <w:tcW w:w="2410" w:type="dxa"/>
            <w:vAlign w:val="center"/>
          </w:tcPr>
          <w:p w14:paraId="29AB6778"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 xml:space="preserve"> 4 364 796,48 € </w:t>
            </w:r>
          </w:p>
        </w:tc>
        <w:tc>
          <w:tcPr>
            <w:tcW w:w="1276" w:type="dxa"/>
            <w:vAlign w:val="center"/>
          </w:tcPr>
          <w:p w14:paraId="2FAD2EFA" w14:textId="77777777" w:rsidR="00692B58" w:rsidRPr="00692B58" w:rsidRDefault="008E70AE" w:rsidP="00692B58">
            <w:pPr>
              <w:autoSpaceDE w:val="0"/>
              <w:autoSpaceDN w:val="0"/>
              <w:adjustRightInd w:val="0"/>
              <w:rPr>
                <w:rFonts w:ascii="Calibri" w:hAnsi="Calibri" w:cs="Calibri"/>
              </w:rPr>
            </w:pPr>
            <w:hyperlink r:id="rId19" w:history="1">
              <w:r w:rsidR="00692B58" w:rsidRPr="00692B58">
                <w:rPr>
                  <w:rFonts w:ascii="Calibri" w:hAnsi="Calibri" w:cs="Calibri"/>
                  <w:color w:val="0000FF"/>
                  <w:u w:val="single"/>
                </w:rPr>
                <w:t>Lien</w:t>
              </w:r>
            </w:hyperlink>
          </w:p>
        </w:tc>
      </w:tr>
      <w:tr w:rsidR="00692B58" w:rsidRPr="00692B58" w14:paraId="754DBC12" w14:textId="77777777" w:rsidTr="00692B58">
        <w:tc>
          <w:tcPr>
            <w:tcW w:w="2694" w:type="dxa"/>
            <w:vMerge/>
            <w:vAlign w:val="center"/>
          </w:tcPr>
          <w:p w14:paraId="109B2ECD" w14:textId="77777777" w:rsidR="00692B58" w:rsidRPr="00692B58" w:rsidRDefault="00692B58" w:rsidP="00692B58">
            <w:pPr>
              <w:autoSpaceDE w:val="0"/>
              <w:autoSpaceDN w:val="0"/>
              <w:adjustRightInd w:val="0"/>
              <w:rPr>
                <w:rFonts w:ascii="Calibri" w:hAnsi="Calibri" w:cs="Calibri"/>
              </w:rPr>
            </w:pPr>
          </w:p>
        </w:tc>
        <w:tc>
          <w:tcPr>
            <w:tcW w:w="2126" w:type="dxa"/>
            <w:vAlign w:val="center"/>
          </w:tcPr>
          <w:p w14:paraId="2C5F32F5"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MIE Energie</w:t>
            </w:r>
          </w:p>
        </w:tc>
        <w:tc>
          <w:tcPr>
            <w:tcW w:w="4678" w:type="dxa"/>
            <w:vAlign w:val="center"/>
          </w:tcPr>
          <w:p w14:paraId="5B32BB97" w14:textId="77777777" w:rsidR="00692B58" w:rsidRPr="00692B58" w:rsidRDefault="00692B58" w:rsidP="00692B58">
            <w:pPr>
              <w:autoSpaceDE w:val="0"/>
              <w:autoSpaceDN w:val="0"/>
              <w:adjustRightInd w:val="0"/>
              <w:rPr>
                <w:rFonts w:ascii="Calibri" w:hAnsi="Calibri" w:cs="Calibri"/>
                <w:lang w:val="en-US"/>
              </w:rPr>
            </w:pPr>
            <w:r w:rsidRPr="00692B58">
              <w:rPr>
                <w:rFonts w:ascii="Calibri" w:hAnsi="Calibri" w:cs="Calibri"/>
                <w:lang w:val="en-US"/>
              </w:rPr>
              <w:t>ACON Smart networks</w:t>
            </w:r>
          </w:p>
          <w:p w14:paraId="445380D9" w14:textId="77777777" w:rsidR="00692B58" w:rsidRPr="00692B58" w:rsidRDefault="00692B58" w:rsidP="00692B58">
            <w:pPr>
              <w:autoSpaceDE w:val="0"/>
              <w:autoSpaceDN w:val="0"/>
              <w:adjustRightInd w:val="0"/>
              <w:rPr>
                <w:rFonts w:ascii="Calibri" w:hAnsi="Calibri" w:cs="Calibri"/>
                <w:lang w:val="en-US"/>
              </w:rPr>
            </w:pPr>
            <w:r w:rsidRPr="00692B58">
              <w:rPr>
                <w:rFonts w:ascii="Calibri" w:hAnsi="Calibri" w:cs="Calibri"/>
                <w:lang w:val="en-US"/>
              </w:rPr>
              <w:t>10.4-0017-CZSK-WM-18</w:t>
            </w:r>
          </w:p>
        </w:tc>
        <w:tc>
          <w:tcPr>
            <w:tcW w:w="2409" w:type="dxa"/>
            <w:vAlign w:val="center"/>
          </w:tcPr>
          <w:p w14:paraId="5282DB60" w14:textId="77777777" w:rsidR="00692B58" w:rsidRPr="006E7F0F" w:rsidRDefault="00692B58" w:rsidP="00692B58">
            <w:pPr>
              <w:autoSpaceDE w:val="0"/>
              <w:autoSpaceDN w:val="0"/>
              <w:adjustRightInd w:val="0"/>
              <w:rPr>
                <w:rFonts w:ascii="Calibri" w:hAnsi="Calibri" w:cs="Calibri"/>
                <w:lang w:val="it-IT"/>
              </w:rPr>
            </w:pPr>
            <w:r w:rsidRPr="006E7F0F">
              <w:rPr>
                <w:rFonts w:ascii="Calibri" w:hAnsi="Calibri" w:cs="Calibri"/>
                <w:lang w:val="it-IT"/>
              </w:rPr>
              <w:t>Západoslovenská Distribučná, as (Slovaquie)</w:t>
            </w:r>
          </w:p>
          <w:p w14:paraId="0126C3DA" w14:textId="77777777" w:rsidR="00692B58" w:rsidRPr="006E7F0F" w:rsidRDefault="00692B58" w:rsidP="00692B58">
            <w:pPr>
              <w:autoSpaceDE w:val="0"/>
              <w:autoSpaceDN w:val="0"/>
              <w:adjustRightInd w:val="0"/>
              <w:rPr>
                <w:rFonts w:ascii="Calibri" w:hAnsi="Calibri" w:cs="Calibri"/>
                <w:lang w:val="it-IT"/>
              </w:rPr>
            </w:pPr>
            <w:r w:rsidRPr="006E7F0F">
              <w:rPr>
                <w:rFonts w:ascii="Calibri" w:hAnsi="Calibri" w:cs="Calibri"/>
                <w:lang w:val="it-IT"/>
              </w:rPr>
              <w:t>https://www.zsdis.sk/</w:t>
            </w:r>
          </w:p>
          <w:p w14:paraId="47342ABB" w14:textId="77777777" w:rsidR="00692B58" w:rsidRPr="006E7F0F" w:rsidRDefault="00692B58" w:rsidP="00692B58">
            <w:pPr>
              <w:autoSpaceDE w:val="0"/>
              <w:autoSpaceDN w:val="0"/>
              <w:adjustRightInd w:val="0"/>
              <w:rPr>
                <w:rFonts w:ascii="Calibri" w:hAnsi="Calibri" w:cs="Calibri"/>
                <w:lang w:val="it-IT"/>
              </w:rPr>
            </w:pPr>
          </w:p>
          <w:p w14:paraId="37582C0A" w14:textId="77777777" w:rsidR="00692B58" w:rsidRPr="00692B58" w:rsidRDefault="00692B58" w:rsidP="00692B58">
            <w:pPr>
              <w:autoSpaceDE w:val="0"/>
              <w:autoSpaceDN w:val="0"/>
              <w:adjustRightInd w:val="0"/>
              <w:rPr>
                <w:rFonts w:ascii="Calibri" w:hAnsi="Calibri" w:cs="Calibri"/>
              </w:rPr>
            </w:pPr>
            <w:proofErr w:type="gramStart"/>
            <w:r w:rsidRPr="00692B58">
              <w:rPr>
                <w:rFonts w:ascii="Calibri" w:hAnsi="Calibri" w:cs="Calibri"/>
              </w:rPr>
              <w:t>EG.D</w:t>
            </w:r>
            <w:proofErr w:type="gramEnd"/>
            <w:r w:rsidRPr="00692B58">
              <w:rPr>
                <w:rFonts w:ascii="Calibri" w:hAnsi="Calibri" w:cs="Calibri"/>
              </w:rPr>
              <w:t xml:space="preserve"> as (République tchèque)</w:t>
            </w:r>
          </w:p>
          <w:p w14:paraId="4C9E5459"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https://www.eon-distribuce.cz/</w:t>
            </w:r>
          </w:p>
        </w:tc>
        <w:tc>
          <w:tcPr>
            <w:tcW w:w="2410" w:type="dxa"/>
            <w:vAlign w:val="center"/>
          </w:tcPr>
          <w:p w14:paraId="7116B691"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91 237 868,00 €</w:t>
            </w:r>
          </w:p>
        </w:tc>
        <w:tc>
          <w:tcPr>
            <w:tcW w:w="1276" w:type="dxa"/>
            <w:vAlign w:val="center"/>
          </w:tcPr>
          <w:p w14:paraId="0F66C985" w14:textId="77777777" w:rsidR="00692B58" w:rsidRPr="00692B58" w:rsidRDefault="008E70AE" w:rsidP="00692B58">
            <w:pPr>
              <w:autoSpaceDE w:val="0"/>
              <w:autoSpaceDN w:val="0"/>
              <w:adjustRightInd w:val="0"/>
              <w:rPr>
                <w:rFonts w:ascii="Calibri" w:hAnsi="Calibri" w:cs="Calibri"/>
              </w:rPr>
            </w:pPr>
            <w:hyperlink r:id="rId20" w:history="1">
              <w:r w:rsidR="00692B58" w:rsidRPr="00692B58">
                <w:rPr>
                  <w:rFonts w:ascii="Calibri" w:hAnsi="Calibri" w:cs="Calibri"/>
                  <w:color w:val="0000FF"/>
                  <w:u w:val="single"/>
                </w:rPr>
                <w:t>Lien</w:t>
              </w:r>
            </w:hyperlink>
          </w:p>
        </w:tc>
      </w:tr>
      <w:tr w:rsidR="00692B58" w:rsidRPr="00692B58" w14:paraId="6CE8D977" w14:textId="77777777" w:rsidTr="00692B58">
        <w:tc>
          <w:tcPr>
            <w:tcW w:w="2694" w:type="dxa"/>
            <w:vMerge/>
            <w:vAlign w:val="center"/>
          </w:tcPr>
          <w:p w14:paraId="4234E6B1" w14:textId="77777777" w:rsidR="00692B58" w:rsidRPr="00692B58" w:rsidRDefault="00692B58" w:rsidP="00692B58">
            <w:pPr>
              <w:autoSpaceDE w:val="0"/>
              <w:autoSpaceDN w:val="0"/>
              <w:adjustRightInd w:val="0"/>
              <w:rPr>
                <w:rFonts w:ascii="Calibri" w:hAnsi="Calibri" w:cs="Calibri"/>
              </w:rPr>
            </w:pPr>
          </w:p>
        </w:tc>
        <w:tc>
          <w:tcPr>
            <w:tcW w:w="2126" w:type="dxa"/>
            <w:vAlign w:val="center"/>
          </w:tcPr>
          <w:p w14:paraId="0282DA5D"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FCH-JU</w:t>
            </w:r>
          </w:p>
        </w:tc>
        <w:tc>
          <w:tcPr>
            <w:tcW w:w="4678" w:type="dxa"/>
            <w:vAlign w:val="center"/>
          </w:tcPr>
          <w:p w14:paraId="70FFCEE4" w14:textId="77777777" w:rsidR="00692B58" w:rsidRPr="00692B58" w:rsidRDefault="00692B58" w:rsidP="00692B58">
            <w:pPr>
              <w:autoSpaceDE w:val="0"/>
              <w:autoSpaceDN w:val="0"/>
              <w:adjustRightInd w:val="0"/>
              <w:rPr>
                <w:rFonts w:ascii="Calibri" w:hAnsi="Calibri" w:cs="Calibri"/>
                <w:lang w:val="en-US"/>
              </w:rPr>
            </w:pPr>
            <w:r w:rsidRPr="00692B58">
              <w:rPr>
                <w:rFonts w:ascii="Calibri" w:hAnsi="Calibri" w:cs="Calibri"/>
                <w:color w:val="000000"/>
                <w:lang w:val="en-US"/>
              </w:rPr>
              <w:t>HEAVENN - Hydrogen Energy Applications for Valley Environments in Northern Netherlands</w:t>
            </w:r>
          </w:p>
        </w:tc>
        <w:tc>
          <w:tcPr>
            <w:tcW w:w="2409" w:type="dxa"/>
            <w:vAlign w:val="center"/>
          </w:tcPr>
          <w:p w14:paraId="20B0E802"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color w:val="000000"/>
              </w:rPr>
              <w:t>STICHTING NEW ENERGY COALITION</w:t>
            </w:r>
          </w:p>
        </w:tc>
        <w:tc>
          <w:tcPr>
            <w:tcW w:w="2410" w:type="dxa"/>
            <w:vAlign w:val="center"/>
          </w:tcPr>
          <w:p w14:paraId="3DC163C7"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 xml:space="preserve"> 20 000 000,00 € </w:t>
            </w:r>
          </w:p>
        </w:tc>
        <w:tc>
          <w:tcPr>
            <w:tcW w:w="1276" w:type="dxa"/>
            <w:vAlign w:val="center"/>
          </w:tcPr>
          <w:p w14:paraId="3F1D94F9" w14:textId="77777777" w:rsidR="00692B58" w:rsidRPr="00692B58" w:rsidRDefault="008E70AE" w:rsidP="00692B58">
            <w:pPr>
              <w:autoSpaceDE w:val="0"/>
              <w:autoSpaceDN w:val="0"/>
              <w:adjustRightInd w:val="0"/>
              <w:rPr>
                <w:rFonts w:ascii="Calibri" w:hAnsi="Calibri" w:cs="Calibri"/>
              </w:rPr>
            </w:pPr>
            <w:hyperlink r:id="rId21" w:history="1">
              <w:r w:rsidR="00692B58" w:rsidRPr="00692B58">
                <w:rPr>
                  <w:rFonts w:ascii="Calibri" w:hAnsi="Calibri" w:cs="Calibri"/>
                  <w:color w:val="0000FF"/>
                  <w:u w:val="single"/>
                </w:rPr>
                <w:t>Lien</w:t>
              </w:r>
            </w:hyperlink>
          </w:p>
        </w:tc>
      </w:tr>
      <w:tr w:rsidR="00692B58" w:rsidRPr="00692B58" w14:paraId="798F6504" w14:textId="77777777" w:rsidTr="00692B58">
        <w:tc>
          <w:tcPr>
            <w:tcW w:w="2694" w:type="dxa"/>
            <w:vMerge w:val="restart"/>
            <w:vAlign w:val="center"/>
          </w:tcPr>
          <w:p w14:paraId="3BEB8F3C" w14:textId="77777777" w:rsidR="00692B58" w:rsidRPr="00692B58" w:rsidRDefault="00692B58" w:rsidP="00692B58">
            <w:pPr>
              <w:autoSpaceDE w:val="0"/>
              <w:autoSpaceDN w:val="0"/>
              <w:adjustRightInd w:val="0"/>
              <w:rPr>
                <w:rFonts w:ascii="Calibri" w:hAnsi="Calibri" w:cs="Calibri"/>
                <w:b/>
                <w:bCs/>
              </w:rPr>
            </w:pPr>
            <w:r w:rsidRPr="00692B58">
              <w:rPr>
                <w:rFonts w:ascii="Calibri" w:hAnsi="Calibri" w:cs="Calibri"/>
                <w:b/>
                <w:bCs/>
              </w:rPr>
              <w:t>Projets de R&amp;D</w:t>
            </w:r>
          </w:p>
        </w:tc>
        <w:tc>
          <w:tcPr>
            <w:tcW w:w="2126" w:type="dxa"/>
            <w:vAlign w:val="center"/>
          </w:tcPr>
          <w:p w14:paraId="56E2C4F1"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H2020</w:t>
            </w:r>
          </w:p>
        </w:tc>
        <w:tc>
          <w:tcPr>
            <w:tcW w:w="4678" w:type="dxa"/>
            <w:vAlign w:val="center"/>
          </w:tcPr>
          <w:p w14:paraId="54AA2AB7" w14:textId="77777777" w:rsidR="00692B58" w:rsidRPr="00692B58" w:rsidRDefault="00692B58" w:rsidP="00692B58">
            <w:pPr>
              <w:autoSpaceDE w:val="0"/>
              <w:autoSpaceDN w:val="0"/>
              <w:adjustRightInd w:val="0"/>
              <w:rPr>
                <w:rFonts w:ascii="Calibri" w:hAnsi="Calibri" w:cs="Calibri"/>
                <w:lang w:val="en-US"/>
              </w:rPr>
            </w:pPr>
            <w:r w:rsidRPr="00692B58">
              <w:rPr>
                <w:rFonts w:ascii="Calibri" w:hAnsi="Calibri" w:cs="Calibri"/>
                <w:color w:val="000000"/>
                <w:lang w:val="en-US"/>
              </w:rPr>
              <w:t xml:space="preserve">LOLABAT - Long </w:t>
            </w:r>
            <w:proofErr w:type="spellStart"/>
            <w:r w:rsidRPr="00692B58">
              <w:rPr>
                <w:rFonts w:ascii="Calibri" w:hAnsi="Calibri" w:cs="Calibri"/>
                <w:color w:val="000000"/>
                <w:lang w:val="en-US"/>
              </w:rPr>
              <w:t>LAsting</w:t>
            </w:r>
            <w:proofErr w:type="spellEnd"/>
            <w:r w:rsidRPr="00692B58">
              <w:rPr>
                <w:rFonts w:ascii="Calibri" w:hAnsi="Calibri" w:cs="Calibri"/>
                <w:color w:val="000000"/>
                <w:lang w:val="en-US"/>
              </w:rPr>
              <w:t xml:space="preserve"> </w:t>
            </w:r>
            <w:proofErr w:type="spellStart"/>
            <w:r w:rsidRPr="00692B58">
              <w:rPr>
                <w:rFonts w:ascii="Calibri" w:hAnsi="Calibri" w:cs="Calibri"/>
                <w:color w:val="000000"/>
                <w:lang w:val="en-US"/>
              </w:rPr>
              <w:t>BATtery</w:t>
            </w:r>
            <w:proofErr w:type="spellEnd"/>
            <w:r w:rsidRPr="00692B58">
              <w:rPr>
                <w:rFonts w:ascii="Calibri" w:hAnsi="Calibri" w:cs="Calibri"/>
                <w:color w:val="000000"/>
                <w:lang w:val="en-US"/>
              </w:rPr>
              <w:t xml:space="preserve"> System</w:t>
            </w:r>
          </w:p>
        </w:tc>
        <w:tc>
          <w:tcPr>
            <w:tcW w:w="2409" w:type="dxa"/>
            <w:vAlign w:val="center"/>
          </w:tcPr>
          <w:p w14:paraId="1F358E2B"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color w:val="000000"/>
              </w:rPr>
              <w:t>CY CERGY PARIS UNIVERSITE</w:t>
            </w:r>
          </w:p>
        </w:tc>
        <w:tc>
          <w:tcPr>
            <w:tcW w:w="2410" w:type="dxa"/>
            <w:vAlign w:val="center"/>
          </w:tcPr>
          <w:p w14:paraId="649BB95F"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 xml:space="preserve"> 7 080 216,25 € </w:t>
            </w:r>
          </w:p>
        </w:tc>
        <w:tc>
          <w:tcPr>
            <w:tcW w:w="1276" w:type="dxa"/>
            <w:vAlign w:val="center"/>
          </w:tcPr>
          <w:p w14:paraId="452362BA" w14:textId="77777777" w:rsidR="00692B58" w:rsidRPr="00692B58" w:rsidRDefault="008E70AE" w:rsidP="00692B58">
            <w:pPr>
              <w:autoSpaceDE w:val="0"/>
              <w:autoSpaceDN w:val="0"/>
              <w:adjustRightInd w:val="0"/>
              <w:rPr>
                <w:rFonts w:ascii="Calibri" w:hAnsi="Calibri" w:cs="Calibri"/>
              </w:rPr>
            </w:pPr>
            <w:hyperlink r:id="rId22" w:history="1">
              <w:r w:rsidR="00692B58" w:rsidRPr="00692B58">
                <w:rPr>
                  <w:rFonts w:ascii="Calibri" w:hAnsi="Calibri" w:cs="Calibri"/>
                  <w:color w:val="0000FF"/>
                  <w:u w:val="single"/>
                </w:rPr>
                <w:t>Lien</w:t>
              </w:r>
            </w:hyperlink>
          </w:p>
        </w:tc>
      </w:tr>
      <w:tr w:rsidR="00692B58" w:rsidRPr="00692B58" w14:paraId="42B96BEE" w14:textId="77777777" w:rsidTr="00692B58">
        <w:tc>
          <w:tcPr>
            <w:tcW w:w="2694" w:type="dxa"/>
            <w:vMerge/>
            <w:vAlign w:val="center"/>
          </w:tcPr>
          <w:p w14:paraId="0D23366E" w14:textId="77777777" w:rsidR="00692B58" w:rsidRPr="00692B58" w:rsidRDefault="00692B58" w:rsidP="00692B58">
            <w:pPr>
              <w:autoSpaceDE w:val="0"/>
              <w:autoSpaceDN w:val="0"/>
              <w:adjustRightInd w:val="0"/>
              <w:rPr>
                <w:rFonts w:ascii="Calibri" w:hAnsi="Calibri" w:cs="Calibri"/>
              </w:rPr>
            </w:pPr>
          </w:p>
        </w:tc>
        <w:tc>
          <w:tcPr>
            <w:tcW w:w="2126" w:type="dxa"/>
            <w:vAlign w:val="center"/>
          </w:tcPr>
          <w:p w14:paraId="1AEBC3B3"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H2020</w:t>
            </w:r>
          </w:p>
        </w:tc>
        <w:tc>
          <w:tcPr>
            <w:tcW w:w="4678" w:type="dxa"/>
            <w:vAlign w:val="center"/>
          </w:tcPr>
          <w:p w14:paraId="61BF642C" w14:textId="77777777" w:rsidR="00692B58" w:rsidRPr="00692B58" w:rsidRDefault="00692B58" w:rsidP="00692B58">
            <w:pPr>
              <w:autoSpaceDE w:val="0"/>
              <w:autoSpaceDN w:val="0"/>
              <w:adjustRightInd w:val="0"/>
              <w:rPr>
                <w:rFonts w:ascii="Calibri" w:hAnsi="Calibri" w:cs="Calibri"/>
                <w:lang w:val="en-US"/>
              </w:rPr>
            </w:pPr>
            <w:r w:rsidRPr="00692B58">
              <w:rPr>
                <w:rFonts w:ascii="Calibri" w:hAnsi="Calibri" w:cs="Calibri"/>
                <w:color w:val="000000"/>
                <w:lang w:val="en-US"/>
              </w:rPr>
              <w:t xml:space="preserve">BOOSTER - Boost </w:t>
            </w:r>
            <w:proofErr w:type="gramStart"/>
            <w:r w:rsidRPr="00692B58">
              <w:rPr>
                <w:rFonts w:ascii="Calibri" w:hAnsi="Calibri" w:cs="Calibri"/>
                <w:color w:val="000000"/>
                <w:lang w:val="en-US"/>
              </w:rPr>
              <w:t>Of</w:t>
            </w:r>
            <w:proofErr w:type="gramEnd"/>
            <w:r w:rsidRPr="00692B58">
              <w:rPr>
                <w:rFonts w:ascii="Calibri" w:hAnsi="Calibri" w:cs="Calibri"/>
                <w:color w:val="000000"/>
                <w:lang w:val="en-US"/>
              </w:rPr>
              <w:t xml:space="preserve"> Organic Solar Technology for European Radiance</w:t>
            </w:r>
          </w:p>
        </w:tc>
        <w:tc>
          <w:tcPr>
            <w:tcW w:w="2409" w:type="dxa"/>
            <w:vAlign w:val="center"/>
          </w:tcPr>
          <w:p w14:paraId="0672C407"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color w:val="000000"/>
              </w:rPr>
              <w:t>Armor SA</w:t>
            </w:r>
          </w:p>
        </w:tc>
        <w:tc>
          <w:tcPr>
            <w:tcW w:w="2410" w:type="dxa"/>
            <w:vAlign w:val="center"/>
          </w:tcPr>
          <w:p w14:paraId="7BD7046D"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 xml:space="preserve"> 6 106 623,75 € </w:t>
            </w:r>
          </w:p>
        </w:tc>
        <w:tc>
          <w:tcPr>
            <w:tcW w:w="1276" w:type="dxa"/>
            <w:vAlign w:val="center"/>
          </w:tcPr>
          <w:p w14:paraId="02D1B92C" w14:textId="77777777" w:rsidR="00692B58" w:rsidRPr="00692B58" w:rsidRDefault="008E70AE" w:rsidP="00692B58">
            <w:pPr>
              <w:autoSpaceDE w:val="0"/>
              <w:autoSpaceDN w:val="0"/>
              <w:adjustRightInd w:val="0"/>
              <w:rPr>
                <w:rFonts w:ascii="Calibri" w:hAnsi="Calibri" w:cs="Calibri"/>
              </w:rPr>
            </w:pPr>
            <w:hyperlink r:id="rId23" w:history="1">
              <w:r w:rsidR="00692B58" w:rsidRPr="00692B58">
                <w:rPr>
                  <w:rFonts w:ascii="Calibri" w:hAnsi="Calibri" w:cs="Calibri"/>
                  <w:color w:val="0000FF"/>
                  <w:u w:val="single"/>
                </w:rPr>
                <w:t>Lien</w:t>
              </w:r>
            </w:hyperlink>
          </w:p>
        </w:tc>
      </w:tr>
      <w:tr w:rsidR="00692B58" w:rsidRPr="00692B58" w14:paraId="2EA7486F" w14:textId="77777777" w:rsidTr="00692B58">
        <w:tc>
          <w:tcPr>
            <w:tcW w:w="2694" w:type="dxa"/>
            <w:vAlign w:val="center"/>
          </w:tcPr>
          <w:p w14:paraId="5E6E63FA" w14:textId="77777777" w:rsidR="00692B58" w:rsidRPr="00692B58" w:rsidRDefault="00692B58" w:rsidP="00692B58">
            <w:pPr>
              <w:autoSpaceDE w:val="0"/>
              <w:autoSpaceDN w:val="0"/>
              <w:adjustRightInd w:val="0"/>
              <w:rPr>
                <w:rFonts w:ascii="Calibri" w:hAnsi="Calibri" w:cs="Calibri"/>
                <w:b/>
                <w:bCs/>
              </w:rPr>
            </w:pPr>
            <w:r w:rsidRPr="00692B58">
              <w:rPr>
                <w:rFonts w:ascii="Calibri" w:hAnsi="Calibri" w:cs="Calibri"/>
                <w:b/>
                <w:bCs/>
              </w:rPr>
              <w:t>Réseaux transnationaux énergétiques</w:t>
            </w:r>
          </w:p>
        </w:tc>
        <w:tc>
          <w:tcPr>
            <w:tcW w:w="2126" w:type="dxa"/>
            <w:vAlign w:val="center"/>
          </w:tcPr>
          <w:p w14:paraId="4BFE487C"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MIE Energie</w:t>
            </w:r>
          </w:p>
        </w:tc>
        <w:tc>
          <w:tcPr>
            <w:tcW w:w="4678" w:type="dxa"/>
            <w:vAlign w:val="center"/>
          </w:tcPr>
          <w:p w14:paraId="752F8EA4" w14:textId="77777777" w:rsidR="00692B58" w:rsidRPr="00692B58" w:rsidRDefault="00692B58" w:rsidP="00692B58">
            <w:pPr>
              <w:autoSpaceDE w:val="0"/>
              <w:autoSpaceDN w:val="0"/>
              <w:adjustRightInd w:val="0"/>
              <w:rPr>
                <w:rFonts w:ascii="Calibri" w:hAnsi="Calibri" w:cs="Calibri"/>
                <w:lang w:val="en-US"/>
              </w:rPr>
            </w:pPr>
            <w:r w:rsidRPr="00692B58">
              <w:rPr>
                <w:rFonts w:ascii="Calibri" w:hAnsi="Calibri" w:cs="Calibri"/>
                <w:color w:val="000000"/>
                <w:lang w:val="en-US"/>
              </w:rPr>
              <w:t>Implementation of the SINCRO.GRID PCI – Phase 1</w:t>
            </w:r>
          </w:p>
        </w:tc>
        <w:tc>
          <w:tcPr>
            <w:tcW w:w="2409" w:type="dxa"/>
            <w:vAlign w:val="center"/>
          </w:tcPr>
          <w:p w14:paraId="3C80225D" w14:textId="77777777" w:rsidR="00692B58" w:rsidRPr="00692B58" w:rsidRDefault="00692B58" w:rsidP="00692B58">
            <w:pPr>
              <w:autoSpaceDE w:val="0"/>
              <w:autoSpaceDN w:val="0"/>
              <w:adjustRightInd w:val="0"/>
              <w:rPr>
                <w:rFonts w:ascii="Calibri" w:hAnsi="Calibri" w:cs="Calibri"/>
                <w:lang w:val="en-US"/>
              </w:rPr>
            </w:pPr>
            <w:r w:rsidRPr="00692B58">
              <w:rPr>
                <w:rFonts w:ascii="Calibri" w:hAnsi="Calibri" w:cs="Calibri"/>
                <w:color w:val="000000"/>
                <w:lang w:val="en-US"/>
              </w:rPr>
              <w:t>ELES, Ltd., Electricity Transmission System Operator (ELES)</w:t>
            </w:r>
          </w:p>
        </w:tc>
        <w:tc>
          <w:tcPr>
            <w:tcW w:w="2410" w:type="dxa"/>
            <w:vAlign w:val="center"/>
          </w:tcPr>
          <w:p w14:paraId="1AB31C22"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lang w:val="en-US"/>
              </w:rPr>
              <w:t xml:space="preserve"> </w:t>
            </w:r>
            <w:r w:rsidRPr="00692B58">
              <w:rPr>
                <w:rFonts w:ascii="Calibri" w:hAnsi="Calibri" w:cs="Calibri"/>
              </w:rPr>
              <w:t xml:space="preserve">40 489 013,00 € </w:t>
            </w:r>
          </w:p>
        </w:tc>
        <w:tc>
          <w:tcPr>
            <w:tcW w:w="1276" w:type="dxa"/>
            <w:vAlign w:val="center"/>
          </w:tcPr>
          <w:p w14:paraId="644B0FBA" w14:textId="77777777" w:rsidR="00692B58" w:rsidRPr="00692B58" w:rsidRDefault="008E70AE" w:rsidP="00692B58">
            <w:pPr>
              <w:autoSpaceDE w:val="0"/>
              <w:autoSpaceDN w:val="0"/>
              <w:adjustRightInd w:val="0"/>
              <w:rPr>
                <w:rFonts w:ascii="Calibri" w:hAnsi="Calibri" w:cs="Calibri"/>
              </w:rPr>
            </w:pPr>
            <w:hyperlink r:id="rId24" w:history="1">
              <w:r w:rsidR="00692B58" w:rsidRPr="00692B58">
                <w:rPr>
                  <w:rFonts w:ascii="Calibri" w:hAnsi="Calibri" w:cs="Calibri"/>
                  <w:color w:val="0000FF"/>
                  <w:u w:val="single"/>
                </w:rPr>
                <w:t>Lien</w:t>
              </w:r>
            </w:hyperlink>
          </w:p>
        </w:tc>
      </w:tr>
      <w:tr w:rsidR="00692B58" w:rsidRPr="00692B58" w14:paraId="72C1DA55" w14:textId="77777777" w:rsidTr="00692B58">
        <w:tc>
          <w:tcPr>
            <w:tcW w:w="2694" w:type="dxa"/>
            <w:vAlign w:val="center"/>
          </w:tcPr>
          <w:p w14:paraId="62929972" w14:textId="77777777" w:rsidR="00692B58" w:rsidRPr="00692B58" w:rsidRDefault="00692B58" w:rsidP="00692B58">
            <w:pPr>
              <w:autoSpaceDE w:val="0"/>
              <w:autoSpaceDN w:val="0"/>
              <w:adjustRightInd w:val="0"/>
              <w:rPr>
                <w:rFonts w:ascii="Calibri" w:hAnsi="Calibri" w:cs="Calibri"/>
                <w:b/>
                <w:bCs/>
              </w:rPr>
            </w:pPr>
            <w:r w:rsidRPr="00692B58">
              <w:rPr>
                <w:rFonts w:ascii="Calibri" w:hAnsi="Calibri" w:cs="Calibri"/>
                <w:b/>
                <w:bCs/>
              </w:rPr>
              <w:t xml:space="preserve">Acceptabilité sociale des </w:t>
            </w:r>
            <w:proofErr w:type="spellStart"/>
            <w:r w:rsidRPr="00692B58">
              <w:rPr>
                <w:rFonts w:ascii="Calibri" w:hAnsi="Calibri" w:cs="Calibri"/>
                <w:b/>
                <w:bCs/>
              </w:rPr>
              <w:t>EnR</w:t>
            </w:r>
            <w:proofErr w:type="spellEnd"/>
            <w:r w:rsidRPr="00692B58">
              <w:rPr>
                <w:rFonts w:ascii="Calibri" w:hAnsi="Calibri" w:cs="Calibri"/>
                <w:b/>
                <w:bCs/>
              </w:rPr>
              <w:t xml:space="preserve"> et projets </w:t>
            </w:r>
            <w:proofErr w:type="spellStart"/>
            <w:r w:rsidRPr="00692B58">
              <w:rPr>
                <w:rFonts w:ascii="Calibri" w:hAnsi="Calibri" w:cs="Calibri"/>
                <w:b/>
                <w:bCs/>
              </w:rPr>
              <w:t>EnR</w:t>
            </w:r>
            <w:proofErr w:type="spellEnd"/>
            <w:r w:rsidRPr="00692B58">
              <w:rPr>
                <w:rFonts w:ascii="Calibri" w:hAnsi="Calibri" w:cs="Calibri"/>
                <w:b/>
                <w:bCs/>
              </w:rPr>
              <w:t xml:space="preserve"> citoyens</w:t>
            </w:r>
          </w:p>
        </w:tc>
        <w:tc>
          <w:tcPr>
            <w:tcW w:w="2126" w:type="dxa"/>
            <w:vAlign w:val="center"/>
          </w:tcPr>
          <w:p w14:paraId="2D15A36D"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INTERREG Europe du Nord-Ouest</w:t>
            </w:r>
          </w:p>
        </w:tc>
        <w:tc>
          <w:tcPr>
            <w:tcW w:w="4678" w:type="dxa"/>
            <w:vAlign w:val="center"/>
          </w:tcPr>
          <w:p w14:paraId="322B4D7D" w14:textId="77777777" w:rsidR="00692B58" w:rsidRPr="00692B58" w:rsidRDefault="008E70AE" w:rsidP="00692B58">
            <w:pPr>
              <w:autoSpaceDE w:val="0"/>
              <w:autoSpaceDN w:val="0"/>
              <w:adjustRightInd w:val="0"/>
              <w:rPr>
                <w:rFonts w:ascii="Calibri" w:hAnsi="Calibri" w:cs="Calibri"/>
                <w:lang w:val="en-US"/>
              </w:rPr>
            </w:pPr>
            <w:hyperlink r:id="rId25" w:history="1">
              <w:r w:rsidR="00692B58" w:rsidRPr="00692B58">
                <w:rPr>
                  <w:rFonts w:ascii="Calibri" w:hAnsi="Calibri" w:cs="Calibri"/>
                  <w:color w:val="000000"/>
                  <w:lang w:val="en-US"/>
                </w:rPr>
                <w:t>ECCO - Creating new local Energy Community Co-Operatives</w:t>
              </w:r>
            </w:hyperlink>
          </w:p>
        </w:tc>
        <w:tc>
          <w:tcPr>
            <w:tcW w:w="2409" w:type="dxa"/>
            <w:vAlign w:val="center"/>
          </w:tcPr>
          <w:p w14:paraId="4248736D" w14:textId="77777777" w:rsidR="00692B58" w:rsidRPr="00692B58" w:rsidRDefault="00692B58" w:rsidP="00692B58">
            <w:pPr>
              <w:autoSpaceDE w:val="0"/>
              <w:autoSpaceDN w:val="0"/>
              <w:adjustRightInd w:val="0"/>
              <w:rPr>
                <w:rFonts w:ascii="Calibri" w:hAnsi="Calibri" w:cs="Calibri"/>
              </w:rPr>
            </w:pPr>
            <w:proofErr w:type="spellStart"/>
            <w:r w:rsidRPr="00692B58">
              <w:rPr>
                <w:rFonts w:ascii="Calibri" w:hAnsi="Calibri" w:cs="Calibri"/>
                <w:color w:val="000000"/>
              </w:rPr>
              <w:t>Innovatiesteunpunt</w:t>
            </w:r>
            <w:proofErr w:type="spellEnd"/>
            <w:r w:rsidRPr="00692B58">
              <w:rPr>
                <w:rFonts w:ascii="Calibri" w:hAnsi="Calibri" w:cs="Calibri"/>
                <w:color w:val="000000"/>
              </w:rPr>
              <w:t xml:space="preserve"> </w:t>
            </w:r>
            <w:proofErr w:type="spellStart"/>
            <w:r w:rsidRPr="00692B58">
              <w:rPr>
                <w:rFonts w:ascii="Calibri" w:hAnsi="Calibri" w:cs="Calibri"/>
                <w:color w:val="000000"/>
              </w:rPr>
              <w:t>voor</w:t>
            </w:r>
            <w:proofErr w:type="spellEnd"/>
            <w:r w:rsidRPr="00692B58">
              <w:rPr>
                <w:rFonts w:ascii="Calibri" w:hAnsi="Calibri" w:cs="Calibri"/>
                <w:color w:val="000000"/>
              </w:rPr>
              <w:t xml:space="preserve"> </w:t>
            </w:r>
            <w:proofErr w:type="spellStart"/>
            <w:r w:rsidRPr="00692B58">
              <w:rPr>
                <w:rFonts w:ascii="Calibri" w:hAnsi="Calibri" w:cs="Calibri"/>
                <w:color w:val="000000"/>
              </w:rPr>
              <w:t>Landbouw</w:t>
            </w:r>
            <w:proofErr w:type="spellEnd"/>
            <w:r w:rsidRPr="00692B58">
              <w:rPr>
                <w:rFonts w:ascii="Calibri" w:hAnsi="Calibri" w:cs="Calibri"/>
                <w:color w:val="000000"/>
              </w:rPr>
              <w:t xml:space="preserve"> en </w:t>
            </w:r>
            <w:proofErr w:type="spellStart"/>
            <w:r w:rsidRPr="00692B58">
              <w:rPr>
                <w:rFonts w:ascii="Calibri" w:hAnsi="Calibri" w:cs="Calibri"/>
                <w:color w:val="000000"/>
              </w:rPr>
              <w:t>Platteland</w:t>
            </w:r>
            <w:proofErr w:type="spellEnd"/>
            <w:r w:rsidRPr="00692B58">
              <w:rPr>
                <w:rFonts w:ascii="Calibri" w:hAnsi="Calibri" w:cs="Calibri"/>
                <w:color w:val="000000"/>
              </w:rPr>
              <w:t xml:space="preserve"> (Centre de soutien à l'innovation)</w:t>
            </w:r>
          </w:p>
        </w:tc>
        <w:tc>
          <w:tcPr>
            <w:tcW w:w="2410" w:type="dxa"/>
            <w:vAlign w:val="center"/>
          </w:tcPr>
          <w:p w14:paraId="7080ED38"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 xml:space="preserve"> 3 734 112,34 € </w:t>
            </w:r>
          </w:p>
        </w:tc>
        <w:tc>
          <w:tcPr>
            <w:tcW w:w="1276" w:type="dxa"/>
            <w:vAlign w:val="center"/>
          </w:tcPr>
          <w:p w14:paraId="1D196845" w14:textId="77777777" w:rsidR="00692B58" w:rsidRPr="00692B58" w:rsidRDefault="008E70AE" w:rsidP="00692B58">
            <w:pPr>
              <w:autoSpaceDE w:val="0"/>
              <w:autoSpaceDN w:val="0"/>
              <w:adjustRightInd w:val="0"/>
              <w:rPr>
                <w:rFonts w:ascii="Calibri" w:hAnsi="Calibri" w:cs="Calibri"/>
              </w:rPr>
            </w:pPr>
            <w:hyperlink r:id="rId26" w:history="1">
              <w:r w:rsidR="00692B58" w:rsidRPr="00692B58">
                <w:rPr>
                  <w:rFonts w:ascii="Calibri" w:hAnsi="Calibri" w:cs="Calibri"/>
                  <w:color w:val="0000FF"/>
                  <w:u w:val="single"/>
                </w:rPr>
                <w:t>Lien</w:t>
              </w:r>
            </w:hyperlink>
          </w:p>
        </w:tc>
      </w:tr>
      <w:tr w:rsidR="00692B58" w:rsidRPr="00692B58" w14:paraId="2B7A1DA0" w14:textId="77777777" w:rsidTr="00692B58">
        <w:tc>
          <w:tcPr>
            <w:tcW w:w="2694" w:type="dxa"/>
            <w:vAlign w:val="center"/>
          </w:tcPr>
          <w:p w14:paraId="11E1E2B9" w14:textId="77777777" w:rsidR="00692B58" w:rsidRPr="00692B58" w:rsidRDefault="00692B58" w:rsidP="00692B58">
            <w:pPr>
              <w:autoSpaceDE w:val="0"/>
              <w:autoSpaceDN w:val="0"/>
              <w:adjustRightInd w:val="0"/>
              <w:rPr>
                <w:rFonts w:ascii="Calibri" w:hAnsi="Calibri" w:cs="Calibri"/>
                <w:b/>
                <w:bCs/>
              </w:rPr>
            </w:pPr>
            <w:r w:rsidRPr="00692B58">
              <w:rPr>
                <w:rFonts w:ascii="Calibri" w:hAnsi="Calibri" w:cs="Calibri"/>
                <w:b/>
                <w:bCs/>
              </w:rPr>
              <w:t>Formation à ces sources d'énergie et montée en compétences</w:t>
            </w:r>
          </w:p>
        </w:tc>
        <w:tc>
          <w:tcPr>
            <w:tcW w:w="2126" w:type="dxa"/>
            <w:vAlign w:val="center"/>
          </w:tcPr>
          <w:p w14:paraId="21C37FCB"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INTERREG ALCOTRA</w:t>
            </w:r>
          </w:p>
        </w:tc>
        <w:tc>
          <w:tcPr>
            <w:tcW w:w="4678" w:type="dxa"/>
            <w:vAlign w:val="center"/>
          </w:tcPr>
          <w:p w14:paraId="640A4524"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color w:val="000000"/>
              </w:rPr>
              <w:t>CBET - Formation Energétique Transfrontalière</w:t>
            </w:r>
          </w:p>
        </w:tc>
        <w:tc>
          <w:tcPr>
            <w:tcW w:w="2409" w:type="dxa"/>
            <w:vAlign w:val="center"/>
          </w:tcPr>
          <w:p w14:paraId="790B7155" w14:textId="77777777" w:rsidR="00692B58" w:rsidRPr="006E7F0F" w:rsidRDefault="00692B58" w:rsidP="00692B58">
            <w:pPr>
              <w:autoSpaceDE w:val="0"/>
              <w:autoSpaceDN w:val="0"/>
              <w:adjustRightInd w:val="0"/>
              <w:rPr>
                <w:rFonts w:ascii="Calibri" w:hAnsi="Calibri" w:cs="Calibri"/>
                <w:lang w:val="it-IT"/>
              </w:rPr>
            </w:pPr>
            <w:r w:rsidRPr="006E7F0F">
              <w:rPr>
                <w:rFonts w:ascii="Calibri" w:hAnsi="Calibri" w:cs="Calibri"/>
                <w:color w:val="000000"/>
                <w:lang w:val="it-IT"/>
              </w:rPr>
              <w:t>ISTITUTO D'ISTRUZIONE SUPERIORE STATALE ERASMO DA ROTTERDAM</w:t>
            </w:r>
          </w:p>
        </w:tc>
        <w:tc>
          <w:tcPr>
            <w:tcW w:w="2410" w:type="dxa"/>
            <w:vAlign w:val="center"/>
          </w:tcPr>
          <w:p w14:paraId="4707C25D" w14:textId="77777777" w:rsidR="00692B58" w:rsidRPr="00692B58" w:rsidRDefault="00692B58" w:rsidP="00692B58">
            <w:pPr>
              <w:autoSpaceDE w:val="0"/>
              <w:autoSpaceDN w:val="0"/>
              <w:adjustRightInd w:val="0"/>
              <w:rPr>
                <w:rFonts w:ascii="Calibri" w:hAnsi="Calibri" w:cs="Calibri"/>
              </w:rPr>
            </w:pPr>
            <w:r w:rsidRPr="006E7F0F">
              <w:rPr>
                <w:rFonts w:ascii="Calibri" w:hAnsi="Calibri" w:cs="Calibri"/>
                <w:lang w:val="it-IT"/>
              </w:rPr>
              <w:t xml:space="preserve"> </w:t>
            </w:r>
            <w:r w:rsidRPr="00692B58">
              <w:rPr>
                <w:rFonts w:ascii="Calibri" w:hAnsi="Calibri" w:cs="Calibri"/>
              </w:rPr>
              <w:t xml:space="preserve">1 697 841,00 € </w:t>
            </w:r>
          </w:p>
        </w:tc>
        <w:tc>
          <w:tcPr>
            <w:tcW w:w="1276" w:type="dxa"/>
            <w:vAlign w:val="center"/>
          </w:tcPr>
          <w:p w14:paraId="0FB846A0" w14:textId="77777777" w:rsidR="00692B58" w:rsidRPr="00692B58" w:rsidRDefault="008E70AE" w:rsidP="00692B58">
            <w:pPr>
              <w:autoSpaceDE w:val="0"/>
              <w:autoSpaceDN w:val="0"/>
              <w:adjustRightInd w:val="0"/>
              <w:rPr>
                <w:rFonts w:ascii="Calibri" w:hAnsi="Calibri" w:cs="Calibri"/>
              </w:rPr>
            </w:pPr>
            <w:hyperlink r:id="rId27" w:history="1">
              <w:r w:rsidR="00692B58" w:rsidRPr="00692B58">
                <w:rPr>
                  <w:rFonts w:ascii="Calibri" w:hAnsi="Calibri" w:cs="Calibri"/>
                  <w:color w:val="0000FF"/>
                  <w:u w:val="single"/>
                </w:rPr>
                <w:t>Lien</w:t>
              </w:r>
            </w:hyperlink>
          </w:p>
        </w:tc>
      </w:tr>
      <w:tr w:rsidR="00692B58" w:rsidRPr="00692B58" w14:paraId="7B2033F6" w14:textId="77777777" w:rsidTr="00692B58">
        <w:tc>
          <w:tcPr>
            <w:tcW w:w="2694" w:type="dxa"/>
            <w:vAlign w:val="center"/>
          </w:tcPr>
          <w:p w14:paraId="06CF5121" w14:textId="77777777" w:rsidR="00692B58" w:rsidRPr="00692B58" w:rsidRDefault="00692B58" w:rsidP="00692B58">
            <w:pPr>
              <w:autoSpaceDE w:val="0"/>
              <w:autoSpaceDN w:val="0"/>
              <w:adjustRightInd w:val="0"/>
              <w:rPr>
                <w:rFonts w:ascii="Calibri" w:hAnsi="Calibri" w:cs="Calibri"/>
                <w:b/>
                <w:bCs/>
              </w:rPr>
            </w:pPr>
            <w:r w:rsidRPr="00692B58">
              <w:rPr>
                <w:rFonts w:ascii="Calibri" w:hAnsi="Calibri" w:cs="Calibri"/>
                <w:b/>
                <w:bCs/>
              </w:rPr>
              <w:t>Méthanisation</w:t>
            </w:r>
          </w:p>
        </w:tc>
        <w:tc>
          <w:tcPr>
            <w:tcW w:w="2126" w:type="dxa"/>
            <w:vAlign w:val="center"/>
          </w:tcPr>
          <w:p w14:paraId="5A6815D6"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LIFE</w:t>
            </w:r>
          </w:p>
        </w:tc>
        <w:tc>
          <w:tcPr>
            <w:tcW w:w="4678" w:type="dxa"/>
            <w:vAlign w:val="center"/>
          </w:tcPr>
          <w:p w14:paraId="661A8B15" w14:textId="77777777" w:rsidR="00692B58" w:rsidRPr="00692B58" w:rsidRDefault="00692B58" w:rsidP="00692B58">
            <w:pPr>
              <w:autoSpaceDE w:val="0"/>
              <w:autoSpaceDN w:val="0"/>
              <w:adjustRightInd w:val="0"/>
              <w:rPr>
                <w:rFonts w:ascii="Calibri" w:hAnsi="Calibri" w:cs="Calibri"/>
                <w:lang w:val="en-US"/>
              </w:rPr>
            </w:pPr>
            <w:r w:rsidRPr="00692B58">
              <w:rPr>
                <w:rFonts w:ascii="Calibri" w:hAnsi="Calibri" w:cs="Calibri"/>
                <w:color w:val="000000"/>
                <w:lang w:val="en-US"/>
              </w:rPr>
              <w:t xml:space="preserve">LIFE SMART </w:t>
            </w:r>
            <w:proofErr w:type="spellStart"/>
            <w:r w:rsidRPr="00692B58">
              <w:rPr>
                <w:rFonts w:ascii="Calibri" w:hAnsi="Calibri" w:cs="Calibri"/>
                <w:color w:val="000000"/>
                <w:lang w:val="en-US"/>
              </w:rPr>
              <w:t>AgroMobility</w:t>
            </w:r>
            <w:proofErr w:type="spellEnd"/>
            <w:r w:rsidRPr="00692B58">
              <w:rPr>
                <w:rFonts w:ascii="Calibri" w:hAnsi="Calibri" w:cs="Calibri"/>
                <w:color w:val="000000"/>
                <w:lang w:val="en-US"/>
              </w:rPr>
              <w:t xml:space="preserve"> - Processing of livestock waste, </w:t>
            </w:r>
            <w:proofErr w:type="gramStart"/>
            <w:r w:rsidRPr="00692B58">
              <w:rPr>
                <w:rFonts w:ascii="Calibri" w:hAnsi="Calibri" w:cs="Calibri"/>
                <w:color w:val="000000"/>
                <w:lang w:val="en-US"/>
              </w:rPr>
              <w:t>for the production of</w:t>
            </w:r>
            <w:proofErr w:type="gramEnd"/>
            <w:r w:rsidRPr="00692B58">
              <w:rPr>
                <w:rFonts w:ascii="Calibri" w:hAnsi="Calibri" w:cs="Calibri"/>
                <w:color w:val="000000"/>
                <w:lang w:val="en-US"/>
              </w:rPr>
              <w:t xml:space="preserve"> biomethane for use in agricultural vehicles and biofertilizers</w:t>
            </w:r>
          </w:p>
        </w:tc>
        <w:tc>
          <w:tcPr>
            <w:tcW w:w="2409" w:type="dxa"/>
            <w:vAlign w:val="center"/>
          </w:tcPr>
          <w:p w14:paraId="23568464"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color w:val="000000"/>
              </w:rPr>
              <w:t>UNIVERSIDAD POLITCNICA DE MADRID</w:t>
            </w:r>
          </w:p>
        </w:tc>
        <w:tc>
          <w:tcPr>
            <w:tcW w:w="2410" w:type="dxa"/>
            <w:vAlign w:val="center"/>
          </w:tcPr>
          <w:p w14:paraId="4921A90C" w14:textId="77777777" w:rsidR="00692B58" w:rsidRPr="00692B58" w:rsidRDefault="00692B58" w:rsidP="00692B58">
            <w:pPr>
              <w:autoSpaceDE w:val="0"/>
              <w:autoSpaceDN w:val="0"/>
              <w:adjustRightInd w:val="0"/>
              <w:rPr>
                <w:rFonts w:ascii="Calibri" w:hAnsi="Calibri" w:cs="Calibri"/>
              </w:rPr>
            </w:pPr>
            <w:r w:rsidRPr="00692B58">
              <w:rPr>
                <w:rFonts w:ascii="Calibri" w:hAnsi="Calibri" w:cs="Calibri"/>
              </w:rPr>
              <w:t xml:space="preserve"> 1 237 605,00 € </w:t>
            </w:r>
          </w:p>
        </w:tc>
        <w:tc>
          <w:tcPr>
            <w:tcW w:w="1276" w:type="dxa"/>
            <w:vAlign w:val="center"/>
          </w:tcPr>
          <w:p w14:paraId="2B5F1E75" w14:textId="77777777" w:rsidR="00692B58" w:rsidRPr="00692B58" w:rsidRDefault="008E70AE" w:rsidP="00692B58">
            <w:pPr>
              <w:autoSpaceDE w:val="0"/>
              <w:autoSpaceDN w:val="0"/>
              <w:adjustRightInd w:val="0"/>
              <w:rPr>
                <w:rFonts w:ascii="Calibri" w:hAnsi="Calibri" w:cs="Calibri"/>
              </w:rPr>
            </w:pPr>
            <w:hyperlink r:id="rId28" w:history="1">
              <w:r w:rsidR="00692B58" w:rsidRPr="00692B58">
                <w:rPr>
                  <w:rFonts w:ascii="Calibri" w:hAnsi="Calibri" w:cs="Calibri"/>
                  <w:color w:val="0000FF"/>
                  <w:u w:val="single"/>
                </w:rPr>
                <w:t>Lien</w:t>
              </w:r>
            </w:hyperlink>
          </w:p>
        </w:tc>
      </w:tr>
    </w:tbl>
    <w:p w14:paraId="33EF8380" w14:textId="19BA3A78" w:rsidR="00507000" w:rsidRPr="00391BE7" w:rsidRDefault="00507000" w:rsidP="00692B58">
      <w:pPr>
        <w:jc w:val="both"/>
      </w:pPr>
    </w:p>
    <w:sectPr w:rsidR="00507000" w:rsidRPr="00391BE7" w:rsidSect="00692B58">
      <w:pgSz w:w="16840" w:h="11900" w:orient="landscape"/>
      <w:pgMar w:top="985" w:right="851" w:bottom="1134" w:left="1276"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 w:author="Yanna Guisolan" w:date="2021-06-14T15:55:00Z" w:initials="YG">
    <w:p w14:paraId="7FD08B1D" w14:textId="77777777" w:rsidR="0080242E" w:rsidRDefault="0080242E" w:rsidP="0080242E">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D08B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1FA7D" w16cex:dateUtc="2021-06-1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08B1D" w16cid:durableId="2471FA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6AD2B" w14:textId="77777777" w:rsidR="008E70AE" w:rsidRDefault="008E70AE" w:rsidP="009E185E">
      <w:r>
        <w:separator/>
      </w:r>
    </w:p>
  </w:endnote>
  <w:endnote w:type="continuationSeparator" w:id="0">
    <w:p w14:paraId="4A0B860E" w14:textId="77777777" w:rsidR="008E70AE" w:rsidRDefault="008E70AE"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charset w:val="00"/>
    <w:family w:val="roman"/>
    <w:pitch w:val="default"/>
  </w:font>
  <w:font w:name="Lucida Grande">
    <w:altName w:val="Segoe UI"/>
    <w:charset w:val="00"/>
    <w:family w:val="swiss"/>
    <w:pitch w:val="variable"/>
    <w:sig w:usb0="E1000AEF" w:usb1="5000A1FF" w:usb2="00000000" w:usb3="00000000" w:csb0="000001BF" w:csb1="00000000"/>
  </w:font>
  <w:font w:name="Trajan Pro">
    <w:altName w:val="Cambria"/>
    <w:panose1 w:val="00000000000000000000"/>
    <w:charset w:val="4D"/>
    <w:family w:val="roman"/>
    <w:notTrueType/>
    <w:pitch w:val="variable"/>
    <w:sig w:usb0="00000007" w:usb1="00000000" w:usb2="00000000" w:usb3="00000000" w:csb0="00000093"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79C36" w14:textId="77777777" w:rsidR="00514CD0" w:rsidRDefault="00514CD0"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C0AD1E" w14:textId="77777777" w:rsidR="00514CD0" w:rsidRDefault="00514CD0"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701E3" w14:textId="77777777" w:rsidR="00514CD0" w:rsidRDefault="00514CD0"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A6F0F">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417"/>
      <w:gridCol w:w="6362"/>
      <w:gridCol w:w="2002"/>
    </w:tblGrid>
    <w:tr w:rsidR="00514CD0" w14:paraId="624B58F3" w14:textId="77777777" w:rsidTr="00211346">
      <w:tc>
        <w:tcPr>
          <w:tcW w:w="1418" w:type="dxa"/>
        </w:tcPr>
        <w:p w14:paraId="4FB03143" w14:textId="77777777" w:rsidR="00514CD0" w:rsidRPr="007369AA" w:rsidRDefault="00514CD0"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55EC257" w14:textId="77777777" w:rsidR="00514CD0" w:rsidRPr="007369AA" w:rsidRDefault="005A75C2"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F5245C5" w14:textId="77777777" w:rsidR="00514CD0" w:rsidRDefault="005A75C2" w:rsidP="00E06D6D">
          <w:pPr>
            <w:pStyle w:val="Pieddepage"/>
            <w:ind w:right="360"/>
          </w:pPr>
          <w:r>
            <w:t>2021</w:t>
          </w:r>
        </w:p>
      </w:tc>
    </w:tr>
  </w:tbl>
  <w:p w14:paraId="7FA05FEE" w14:textId="77777777" w:rsidR="00514CD0" w:rsidRDefault="00514CD0"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67991" w14:textId="77777777" w:rsidR="008E70AE" w:rsidRDefault="008E70AE" w:rsidP="009E185E">
      <w:r>
        <w:separator/>
      </w:r>
    </w:p>
  </w:footnote>
  <w:footnote w:type="continuationSeparator" w:id="0">
    <w:p w14:paraId="0B78F1C5" w14:textId="77777777" w:rsidR="008E70AE" w:rsidRDefault="008E70AE" w:rsidP="009E1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ABC4" w14:textId="77777777" w:rsidR="00514CD0" w:rsidRDefault="009C7144" w:rsidP="00211346">
    <w:pPr>
      <w:pStyle w:val="En-tte"/>
      <w:jc w:val="center"/>
    </w:pPr>
    <w:r>
      <w:rPr>
        <w:noProof/>
        <w:sz w:val="56"/>
        <w:szCs w:val="56"/>
      </w:rPr>
      <w:drawing>
        <wp:anchor distT="0" distB="0" distL="114300" distR="114300" simplePos="0" relativeHeight="251658240" behindDoc="1" locked="0" layoutInCell="1" allowOverlap="1" wp14:anchorId="207D991C" wp14:editId="0D679793">
          <wp:simplePos x="0" y="0"/>
          <wp:positionH relativeFrom="column">
            <wp:posOffset>5682153</wp:posOffset>
          </wp:positionH>
          <wp:positionV relativeFrom="paragraph">
            <wp:posOffset>-280670</wp:posOffset>
          </wp:positionV>
          <wp:extent cx="993352" cy="222127"/>
          <wp:effectExtent l="0" t="0" r="0" b="698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A2E920E" wp14:editId="47A61101">
          <wp:simplePos x="0" y="0"/>
          <wp:positionH relativeFrom="column">
            <wp:posOffset>-686223</wp:posOffset>
          </wp:positionH>
          <wp:positionV relativeFrom="paragraph">
            <wp:posOffset>-407882</wp:posOffset>
          </wp:positionV>
          <wp:extent cx="795867" cy="795867"/>
          <wp:effectExtent l="0" t="0" r="4445" b="4445"/>
          <wp:wrapNone/>
          <wp:docPr id="2" name="Image 2"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6079" cy="7960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48E73F1C" wp14:editId="6A6CF6A7">
          <wp:simplePos x="0" y="0"/>
          <wp:positionH relativeFrom="column">
            <wp:posOffset>58632</wp:posOffset>
          </wp:positionH>
          <wp:positionV relativeFrom="paragraph">
            <wp:posOffset>-238337</wp:posOffset>
          </wp:positionV>
          <wp:extent cx="1286510" cy="424815"/>
          <wp:effectExtent l="0" t="0" r="8890" b="0"/>
          <wp:wrapNone/>
          <wp:docPr id="4"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DDC7B67"/>
    <w:multiLevelType w:val="hybridMultilevel"/>
    <w:tmpl w:val="270A4A0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A804CD0"/>
    <w:multiLevelType w:val="hybridMultilevel"/>
    <w:tmpl w:val="FD03E23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711E99"/>
    <w:multiLevelType w:val="hybridMultilevel"/>
    <w:tmpl w:val="BA0E2ED8"/>
    <w:lvl w:ilvl="0" w:tplc="C368278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83497C"/>
    <w:multiLevelType w:val="hybridMultilevel"/>
    <w:tmpl w:val="6860C0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1E44079"/>
    <w:multiLevelType w:val="hybridMultilevel"/>
    <w:tmpl w:val="31D8AA0A"/>
    <w:lvl w:ilvl="0" w:tplc="1954274C">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38A6845"/>
    <w:multiLevelType w:val="hybridMultilevel"/>
    <w:tmpl w:val="84122582"/>
    <w:lvl w:ilvl="0" w:tplc="CE9E388C">
      <w:start w:val="3"/>
      <w:numFmt w:val="bullet"/>
      <w:lvlText w:val=""/>
      <w:lvlJc w:val="left"/>
      <w:pPr>
        <w:ind w:left="360" w:hanging="360"/>
      </w:pPr>
      <w:rPr>
        <w:rFonts w:ascii="Wingdings" w:eastAsiaTheme="minorEastAsia" w:hAnsi="Wingdings" w:cstheme="minorHAnsi"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39F07AC"/>
    <w:multiLevelType w:val="hybridMultilevel"/>
    <w:tmpl w:val="075461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3FE64B8"/>
    <w:multiLevelType w:val="hybridMultilevel"/>
    <w:tmpl w:val="770098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44F67BB"/>
    <w:multiLevelType w:val="hybridMultilevel"/>
    <w:tmpl w:val="9B406F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51E7879"/>
    <w:multiLevelType w:val="hybridMultilevel"/>
    <w:tmpl w:val="0764FFE6"/>
    <w:lvl w:ilvl="0" w:tplc="5C62B292">
      <w:start w:val="1"/>
      <w:numFmt w:val="bullet"/>
      <w:pStyle w:val="Titre2"/>
      <w:lvlText w:val=""/>
      <w:lvlJc w:val="left"/>
      <w:pPr>
        <w:ind w:left="396" w:hanging="360"/>
      </w:pPr>
      <w:rPr>
        <w:rFonts w:ascii="Wingdings" w:hAnsi="Wingdings" w:hint="default"/>
      </w:rPr>
    </w:lvl>
    <w:lvl w:ilvl="1" w:tplc="040C0003" w:tentative="1">
      <w:start w:val="1"/>
      <w:numFmt w:val="bullet"/>
      <w:lvlText w:val="o"/>
      <w:lvlJc w:val="left"/>
      <w:pPr>
        <w:ind w:left="1116" w:hanging="360"/>
      </w:pPr>
      <w:rPr>
        <w:rFonts w:ascii="Courier New" w:hAnsi="Courier New" w:cs="Courier New" w:hint="default"/>
      </w:rPr>
    </w:lvl>
    <w:lvl w:ilvl="2" w:tplc="040C0005" w:tentative="1">
      <w:start w:val="1"/>
      <w:numFmt w:val="bullet"/>
      <w:lvlText w:val=""/>
      <w:lvlJc w:val="left"/>
      <w:pPr>
        <w:ind w:left="1836" w:hanging="360"/>
      </w:pPr>
      <w:rPr>
        <w:rFonts w:ascii="Wingdings" w:hAnsi="Wingdings" w:hint="default"/>
      </w:rPr>
    </w:lvl>
    <w:lvl w:ilvl="3" w:tplc="040C0001" w:tentative="1">
      <w:start w:val="1"/>
      <w:numFmt w:val="bullet"/>
      <w:lvlText w:val=""/>
      <w:lvlJc w:val="left"/>
      <w:pPr>
        <w:ind w:left="2556" w:hanging="360"/>
      </w:pPr>
      <w:rPr>
        <w:rFonts w:ascii="Symbol" w:hAnsi="Symbol" w:hint="default"/>
      </w:rPr>
    </w:lvl>
    <w:lvl w:ilvl="4" w:tplc="040C0003" w:tentative="1">
      <w:start w:val="1"/>
      <w:numFmt w:val="bullet"/>
      <w:lvlText w:val="o"/>
      <w:lvlJc w:val="left"/>
      <w:pPr>
        <w:ind w:left="3276" w:hanging="360"/>
      </w:pPr>
      <w:rPr>
        <w:rFonts w:ascii="Courier New" w:hAnsi="Courier New" w:cs="Courier New" w:hint="default"/>
      </w:rPr>
    </w:lvl>
    <w:lvl w:ilvl="5" w:tplc="040C0005" w:tentative="1">
      <w:start w:val="1"/>
      <w:numFmt w:val="bullet"/>
      <w:lvlText w:val=""/>
      <w:lvlJc w:val="left"/>
      <w:pPr>
        <w:ind w:left="3996" w:hanging="360"/>
      </w:pPr>
      <w:rPr>
        <w:rFonts w:ascii="Wingdings" w:hAnsi="Wingdings" w:hint="default"/>
      </w:rPr>
    </w:lvl>
    <w:lvl w:ilvl="6" w:tplc="040C0001" w:tentative="1">
      <w:start w:val="1"/>
      <w:numFmt w:val="bullet"/>
      <w:lvlText w:val=""/>
      <w:lvlJc w:val="left"/>
      <w:pPr>
        <w:ind w:left="4716" w:hanging="360"/>
      </w:pPr>
      <w:rPr>
        <w:rFonts w:ascii="Symbol" w:hAnsi="Symbol" w:hint="default"/>
      </w:rPr>
    </w:lvl>
    <w:lvl w:ilvl="7" w:tplc="040C0003" w:tentative="1">
      <w:start w:val="1"/>
      <w:numFmt w:val="bullet"/>
      <w:lvlText w:val="o"/>
      <w:lvlJc w:val="left"/>
      <w:pPr>
        <w:ind w:left="5436" w:hanging="360"/>
      </w:pPr>
      <w:rPr>
        <w:rFonts w:ascii="Courier New" w:hAnsi="Courier New" w:cs="Courier New" w:hint="default"/>
      </w:rPr>
    </w:lvl>
    <w:lvl w:ilvl="8" w:tplc="040C0005" w:tentative="1">
      <w:start w:val="1"/>
      <w:numFmt w:val="bullet"/>
      <w:lvlText w:val=""/>
      <w:lvlJc w:val="left"/>
      <w:pPr>
        <w:ind w:left="6156" w:hanging="360"/>
      </w:pPr>
      <w:rPr>
        <w:rFonts w:ascii="Wingdings" w:hAnsi="Wingdings" w:hint="default"/>
      </w:rPr>
    </w:lvl>
  </w:abstractNum>
  <w:abstractNum w:abstractNumId="10" w15:restartNumberingAfterBreak="0">
    <w:nsid w:val="09180C23"/>
    <w:multiLevelType w:val="hybridMultilevel"/>
    <w:tmpl w:val="B0787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0EDD6105"/>
    <w:multiLevelType w:val="hybridMultilevel"/>
    <w:tmpl w:val="0B0AD780"/>
    <w:lvl w:ilvl="0" w:tplc="040C0015">
      <w:start w:val="1"/>
      <w:numFmt w:val="upperLetter"/>
      <w:lvlText w:val="%1."/>
      <w:lvlJc w:val="left"/>
      <w:pPr>
        <w:ind w:left="720" w:hanging="360"/>
      </w:pPr>
      <w:rPr>
        <w:rFonts w:hint="default"/>
      </w:rPr>
    </w:lvl>
    <w:lvl w:ilvl="1" w:tplc="F5CEA5A8">
      <w:start w:val="20"/>
      <w:numFmt w:val="bullet"/>
      <w:lvlText w:val="-"/>
      <w:lvlJc w:val="left"/>
      <w:pPr>
        <w:ind w:left="720" w:hanging="360"/>
      </w:pPr>
      <w:rPr>
        <w:rFonts w:ascii="Calibri" w:eastAsiaTheme="minorEastAsia" w:hAnsi="Calibri" w:cs="Calibri" w:hint="default"/>
      </w:rPr>
    </w:lvl>
    <w:lvl w:ilvl="2" w:tplc="CE9E388C">
      <w:start w:val="3"/>
      <w:numFmt w:val="bullet"/>
      <w:lvlText w:val=""/>
      <w:lvlJc w:val="left"/>
      <w:pPr>
        <w:ind w:left="2340" w:hanging="360"/>
      </w:pPr>
      <w:rPr>
        <w:rFonts w:ascii="Wingdings" w:eastAsiaTheme="minorEastAsia" w:hAnsi="Wingdings" w:cstheme="minorHAns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7276BAD"/>
    <w:multiLevelType w:val="hybridMultilevel"/>
    <w:tmpl w:val="22DE15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72D5D21"/>
    <w:multiLevelType w:val="hybridMultilevel"/>
    <w:tmpl w:val="269807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7C0624B"/>
    <w:multiLevelType w:val="hybridMultilevel"/>
    <w:tmpl w:val="587C00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8B76C4A"/>
    <w:multiLevelType w:val="hybridMultilevel"/>
    <w:tmpl w:val="4BA0BD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867169"/>
    <w:multiLevelType w:val="hybridMultilevel"/>
    <w:tmpl w:val="4BCC4158"/>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CFE643B"/>
    <w:multiLevelType w:val="hybridMultilevel"/>
    <w:tmpl w:val="159EB2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1C1269D"/>
    <w:multiLevelType w:val="hybridMultilevel"/>
    <w:tmpl w:val="D7CE8A96"/>
    <w:lvl w:ilvl="0" w:tplc="F32C98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27A6287"/>
    <w:multiLevelType w:val="hybridMultilevel"/>
    <w:tmpl w:val="39747860"/>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2660577E"/>
    <w:multiLevelType w:val="hybridMultilevel"/>
    <w:tmpl w:val="0E16D1F8"/>
    <w:lvl w:ilvl="0" w:tplc="C7189DC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692726C"/>
    <w:multiLevelType w:val="hybridMultilevel"/>
    <w:tmpl w:val="C404447A"/>
    <w:lvl w:ilvl="0" w:tplc="3B686FF6">
      <w:numFmt w:val="bullet"/>
      <w:lvlText w:val="-"/>
      <w:lvlJc w:val="left"/>
      <w:pPr>
        <w:ind w:left="720" w:hanging="360"/>
      </w:pPr>
      <w:rPr>
        <w:rFonts w:ascii="Calibri" w:eastAsiaTheme="minorEastAsia" w:hAnsi="Calibri" w:cs="Calibri" w:hint="default"/>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7BE6A29"/>
    <w:multiLevelType w:val="hybridMultilevel"/>
    <w:tmpl w:val="16DA115E"/>
    <w:lvl w:ilvl="0" w:tplc="07B60D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8B61394"/>
    <w:multiLevelType w:val="hybridMultilevel"/>
    <w:tmpl w:val="82961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FF68C3"/>
    <w:multiLevelType w:val="hybridMultilevel"/>
    <w:tmpl w:val="2F88C940"/>
    <w:lvl w:ilvl="0" w:tplc="33D85F78">
      <w:numFmt w:val="bullet"/>
      <w:lvlText w:val="-"/>
      <w:lvlJc w:val="left"/>
      <w:pPr>
        <w:ind w:left="720" w:hanging="360"/>
      </w:pPr>
      <w:rPr>
        <w:rFonts w:ascii="Calibri" w:eastAsiaTheme="minorEastAsia" w:hAnsi="Calibri" w:cs="Calibri"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9C6BD8"/>
    <w:multiLevelType w:val="hybridMultilevel"/>
    <w:tmpl w:val="E3C23B82"/>
    <w:lvl w:ilvl="0" w:tplc="B4440EE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13553A5"/>
    <w:multiLevelType w:val="hybridMultilevel"/>
    <w:tmpl w:val="5E8CB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B21D97"/>
    <w:multiLevelType w:val="hybridMultilevel"/>
    <w:tmpl w:val="CFD00B4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3DA3BC7"/>
    <w:multiLevelType w:val="hybridMultilevel"/>
    <w:tmpl w:val="E79872A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8E2932"/>
    <w:multiLevelType w:val="hybridMultilevel"/>
    <w:tmpl w:val="693EFD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93A5BFC"/>
    <w:multiLevelType w:val="hybridMultilevel"/>
    <w:tmpl w:val="4BFEB94E"/>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4" w15:restartNumberingAfterBreak="0">
    <w:nsid w:val="5B5478B8"/>
    <w:multiLevelType w:val="hybridMultilevel"/>
    <w:tmpl w:val="9A345CA0"/>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5" w15:restartNumberingAfterBreak="0">
    <w:nsid w:val="67265CBC"/>
    <w:multiLevelType w:val="hybridMultilevel"/>
    <w:tmpl w:val="61800320"/>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6" w15:restartNumberingAfterBreak="0">
    <w:nsid w:val="6A946B23"/>
    <w:multiLevelType w:val="hybridMultilevel"/>
    <w:tmpl w:val="CDC24060"/>
    <w:lvl w:ilvl="0" w:tplc="1954274C">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39B52E0"/>
    <w:multiLevelType w:val="hybridMultilevel"/>
    <w:tmpl w:val="2AD69B58"/>
    <w:lvl w:ilvl="0" w:tplc="CE9E388C">
      <w:start w:val="3"/>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F6386C"/>
    <w:multiLevelType w:val="hybridMultilevel"/>
    <w:tmpl w:val="86E47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502D93"/>
    <w:multiLevelType w:val="hybridMultilevel"/>
    <w:tmpl w:val="4446AAE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7802B2E"/>
    <w:multiLevelType w:val="hybridMultilevel"/>
    <w:tmpl w:val="9AEE3D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7873BFD"/>
    <w:multiLevelType w:val="hybridMultilevel"/>
    <w:tmpl w:val="9EFA8634"/>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A1B1FB8"/>
    <w:multiLevelType w:val="hybridMultilevel"/>
    <w:tmpl w:val="8D02189E"/>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9"/>
  </w:num>
  <w:num w:numId="3">
    <w:abstractNumId w:val="34"/>
  </w:num>
  <w:num w:numId="4">
    <w:abstractNumId w:val="7"/>
  </w:num>
  <w:num w:numId="5">
    <w:abstractNumId w:val="32"/>
  </w:num>
  <w:num w:numId="6">
    <w:abstractNumId w:val="11"/>
  </w:num>
  <w:num w:numId="7">
    <w:abstractNumId w:val="25"/>
  </w:num>
  <w:num w:numId="8">
    <w:abstractNumId w:val="3"/>
  </w:num>
  <w:num w:numId="9">
    <w:abstractNumId w:val="18"/>
  </w:num>
  <w:num w:numId="10">
    <w:abstractNumId w:val="22"/>
  </w:num>
  <w:num w:numId="11">
    <w:abstractNumId w:val="42"/>
  </w:num>
  <w:num w:numId="12">
    <w:abstractNumId w:val="16"/>
  </w:num>
  <w:num w:numId="13">
    <w:abstractNumId w:val="5"/>
  </w:num>
  <w:num w:numId="14">
    <w:abstractNumId w:val="27"/>
  </w:num>
  <w:num w:numId="15">
    <w:abstractNumId w:val="41"/>
  </w:num>
  <w:num w:numId="16">
    <w:abstractNumId w:val="19"/>
  </w:num>
  <w:num w:numId="17">
    <w:abstractNumId w:val="39"/>
  </w:num>
  <w:num w:numId="18">
    <w:abstractNumId w:val="13"/>
  </w:num>
  <w:num w:numId="19">
    <w:abstractNumId w:val="38"/>
  </w:num>
  <w:num w:numId="20">
    <w:abstractNumId w:val="2"/>
  </w:num>
  <w:num w:numId="21">
    <w:abstractNumId w:val="20"/>
  </w:num>
  <w:num w:numId="22">
    <w:abstractNumId w:val="28"/>
  </w:num>
  <w:num w:numId="23">
    <w:abstractNumId w:val="9"/>
  </w:num>
  <w:num w:numId="24">
    <w:abstractNumId w:val="40"/>
  </w:num>
  <w:num w:numId="25">
    <w:abstractNumId w:val="37"/>
  </w:num>
  <w:num w:numId="26">
    <w:abstractNumId w:val="6"/>
  </w:num>
  <w:num w:numId="27">
    <w:abstractNumId w:val="10"/>
  </w:num>
  <w:num w:numId="28">
    <w:abstractNumId w:val="31"/>
  </w:num>
  <w:num w:numId="29">
    <w:abstractNumId w:val="24"/>
  </w:num>
  <w:num w:numId="30">
    <w:abstractNumId w:val="1"/>
  </w:num>
  <w:num w:numId="31">
    <w:abstractNumId w:val="12"/>
  </w:num>
  <w:num w:numId="32">
    <w:abstractNumId w:val="0"/>
  </w:num>
  <w:num w:numId="33">
    <w:abstractNumId w:val="14"/>
  </w:num>
  <w:num w:numId="34">
    <w:abstractNumId w:val="8"/>
  </w:num>
  <w:num w:numId="35">
    <w:abstractNumId w:val="4"/>
  </w:num>
  <w:num w:numId="36">
    <w:abstractNumId w:val="36"/>
  </w:num>
  <w:num w:numId="37">
    <w:abstractNumId w:val="21"/>
  </w:num>
  <w:num w:numId="38">
    <w:abstractNumId w:val="23"/>
  </w:num>
  <w:num w:numId="39">
    <w:abstractNumId w:val="26"/>
  </w:num>
  <w:num w:numId="40">
    <w:abstractNumId w:val="35"/>
  </w:num>
  <w:num w:numId="41">
    <w:abstractNumId w:val="15"/>
  </w:num>
  <w:num w:numId="42">
    <w:abstractNumId w:val="33"/>
  </w:num>
  <w:num w:numId="43">
    <w:abstractNumId w:val="17"/>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anna Guisolan">
    <w15:presenceInfo w15:providerId="Windows Live" w15:userId="dd7c75fbc8456a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09E7"/>
    <w:rsid w:val="0000161C"/>
    <w:rsid w:val="0000403F"/>
    <w:rsid w:val="0001598D"/>
    <w:rsid w:val="00015C21"/>
    <w:rsid w:val="00015D33"/>
    <w:rsid w:val="00025D95"/>
    <w:rsid w:val="0003207A"/>
    <w:rsid w:val="00043B50"/>
    <w:rsid w:val="00054365"/>
    <w:rsid w:val="00061689"/>
    <w:rsid w:val="000709A5"/>
    <w:rsid w:val="0007142D"/>
    <w:rsid w:val="0007325D"/>
    <w:rsid w:val="000749A2"/>
    <w:rsid w:val="00077AD0"/>
    <w:rsid w:val="00080B5C"/>
    <w:rsid w:val="00080CF9"/>
    <w:rsid w:val="000828C1"/>
    <w:rsid w:val="0008373C"/>
    <w:rsid w:val="000878F5"/>
    <w:rsid w:val="0009066F"/>
    <w:rsid w:val="000A6C71"/>
    <w:rsid w:val="000B0132"/>
    <w:rsid w:val="000B1F13"/>
    <w:rsid w:val="000B2403"/>
    <w:rsid w:val="000B3A1A"/>
    <w:rsid w:val="000C7158"/>
    <w:rsid w:val="000E547B"/>
    <w:rsid w:val="000F6C86"/>
    <w:rsid w:val="000F74C1"/>
    <w:rsid w:val="000F76F4"/>
    <w:rsid w:val="00106A85"/>
    <w:rsid w:val="00111A76"/>
    <w:rsid w:val="00114654"/>
    <w:rsid w:val="001164CC"/>
    <w:rsid w:val="00120F00"/>
    <w:rsid w:val="00133D80"/>
    <w:rsid w:val="00135A07"/>
    <w:rsid w:val="00137BB6"/>
    <w:rsid w:val="00137E4E"/>
    <w:rsid w:val="001411C4"/>
    <w:rsid w:val="001418A5"/>
    <w:rsid w:val="00142241"/>
    <w:rsid w:val="00144EDE"/>
    <w:rsid w:val="00145E9E"/>
    <w:rsid w:val="00150A74"/>
    <w:rsid w:val="00153005"/>
    <w:rsid w:val="001544E2"/>
    <w:rsid w:val="0018436E"/>
    <w:rsid w:val="00185A9B"/>
    <w:rsid w:val="00186164"/>
    <w:rsid w:val="001A6367"/>
    <w:rsid w:val="001B3A1E"/>
    <w:rsid w:val="001B3C66"/>
    <w:rsid w:val="001B424E"/>
    <w:rsid w:val="001B4CED"/>
    <w:rsid w:val="001C21DF"/>
    <w:rsid w:val="001C3068"/>
    <w:rsid w:val="001D3018"/>
    <w:rsid w:val="001D479E"/>
    <w:rsid w:val="001D764C"/>
    <w:rsid w:val="001E0235"/>
    <w:rsid w:val="001E4BB1"/>
    <w:rsid w:val="001F22E3"/>
    <w:rsid w:val="0020698D"/>
    <w:rsid w:val="00211346"/>
    <w:rsid w:val="00217069"/>
    <w:rsid w:val="00242958"/>
    <w:rsid w:val="00242AEC"/>
    <w:rsid w:val="00244706"/>
    <w:rsid w:val="00246714"/>
    <w:rsid w:val="002607A1"/>
    <w:rsid w:val="00265050"/>
    <w:rsid w:val="00265895"/>
    <w:rsid w:val="00274134"/>
    <w:rsid w:val="00282042"/>
    <w:rsid w:val="00287937"/>
    <w:rsid w:val="00287CBB"/>
    <w:rsid w:val="00290563"/>
    <w:rsid w:val="0029081F"/>
    <w:rsid w:val="002917CD"/>
    <w:rsid w:val="002A153E"/>
    <w:rsid w:val="002A6F0F"/>
    <w:rsid w:val="002B1480"/>
    <w:rsid w:val="002B154C"/>
    <w:rsid w:val="002B76C6"/>
    <w:rsid w:val="002C0A26"/>
    <w:rsid w:val="002C50E2"/>
    <w:rsid w:val="002C717E"/>
    <w:rsid w:val="002D20A4"/>
    <w:rsid w:val="002E0E64"/>
    <w:rsid w:val="002E1D59"/>
    <w:rsid w:val="002E6D9D"/>
    <w:rsid w:val="002F6C86"/>
    <w:rsid w:val="0030099D"/>
    <w:rsid w:val="003135E5"/>
    <w:rsid w:val="00315057"/>
    <w:rsid w:val="00322C77"/>
    <w:rsid w:val="00323FCD"/>
    <w:rsid w:val="00331853"/>
    <w:rsid w:val="0035026B"/>
    <w:rsid w:val="00356D40"/>
    <w:rsid w:val="00360812"/>
    <w:rsid w:val="0036202C"/>
    <w:rsid w:val="00366B0A"/>
    <w:rsid w:val="00370956"/>
    <w:rsid w:val="00372AF5"/>
    <w:rsid w:val="00375E8F"/>
    <w:rsid w:val="00380A27"/>
    <w:rsid w:val="00381FBB"/>
    <w:rsid w:val="00384EDF"/>
    <w:rsid w:val="00386859"/>
    <w:rsid w:val="00391BE7"/>
    <w:rsid w:val="00394ABF"/>
    <w:rsid w:val="003A5BED"/>
    <w:rsid w:val="003C74CC"/>
    <w:rsid w:val="003E28E3"/>
    <w:rsid w:val="003F019F"/>
    <w:rsid w:val="003F2F57"/>
    <w:rsid w:val="003F70AA"/>
    <w:rsid w:val="0040099C"/>
    <w:rsid w:val="00400C3D"/>
    <w:rsid w:val="004029D9"/>
    <w:rsid w:val="00403F6D"/>
    <w:rsid w:val="00404665"/>
    <w:rsid w:val="004062B7"/>
    <w:rsid w:val="00414112"/>
    <w:rsid w:val="0041473A"/>
    <w:rsid w:val="0043515B"/>
    <w:rsid w:val="00435E8B"/>
    <w:rsid w:val="00436868"/>
    <w:rsid w:val="00452317"/>
    <w:rsid w:val="00454F15"/>
    <w:rsid w:val="00455B8C"/>
    <w:rsid w:val="004572BE"/>
    <w:rsid w:val="004604EB"/>
    <w:rsid w:val="00460CE3"/>
    <w:rsid w:val="0046533A"/>
    <w:rsid w:val="004700B0"/>
    <w:rsid w:val="0047615A"/>
    <w:rsid w:val="00481FD4"/>
    <w:rsid w:val="004915B4"/>
    <w:rsid w:val="004A474C"/>
    <w:rsid w:val="004A55DC"/>
    <w:rsid w:val="004A6F38"/>
    <w:rsid w:val="004A6F83"/>
    <w:rsid w:val="004B4A27"/>
    <w:rsid w:val="004B65D0"/>
    <w:rsid w:val="004C0233"/>
    <w:rsid w:val="004C3129"/>
    <w:rsid w:val="004C3F1E"/>
    <w:rsid w:val="004C68F8"/>
    <w:rsid w:val="004C6C42"/>
    <w:rsid w:val="004D0273"/>
    <w:rsid w:val="004D4D6F"/>
    <w:rsid w:val="004E4A59"/>
    <w:rsid w:val="004F006B"/>
    <w:rsid w:val="004F13CF"/>
    <w:rsid w:val="00507000"/>
    <w:rsid w:val="00514CD0"/>
    <w:rsid w:val="005162C4"/>
    <w:rsid w:val="00517957"/>
    <w:rsid w:val="00524582"/>
    <w:rsid w:val="005373FD"/>
    <w:rsid w:val="0054038B"/>
    <w:rsid w:val="0054115A"/>
    <w:rsid w:val="005421BD"/>
    <w:rsid w:val="00542C57"/>
    <w:rsid w:val="005444A9"/>
    <w:rsid w:val="00544DFF"/>
    <w:rsid w:val="0056047F"/>
    <w:rsid w:val="00561F07"/>
    <w:rsid w:val="005636A4"/>
    <w:rsid w:val="00571501"/>
    <w:rsid w:val="00583C8A"/>
    <w:rsid w:val="00590E6D"/>
    <w:rsid w:val="005926B0"/>
    <w:rsid w:val="00593AFE"/>
    <w:rsid w:val="00595805"/>
    <w:rsid w:val="0059645C"/>
    <w:rsid w:val="00597A0A"/>
    <w:rsid w:val="005A0D8A"/>
    <w:rsid w:val="005A1907"/>
    <w:rsid w:val="005A75C2"/>
    <w:rsid w:val="005B0417"/>
    <w:rsid w:val="005B059D"/>
    <w:rsid w:val="005B172C"/>
    <w:rsid w:val="005B67AC"/>
    <w:rsid w:val="005C4C9B"/>
    <w:rsid w:val="005D1DC4"/>
    <w:rsid w:val="005D1FC2"/>
    <w:rsid w:val="005E31E0"/>
    <w:rsid w:val="005E7FFB"/>
    <w:rsid w:val="005F2149"/>
    <w:rsid w:val="005F3238"/>
    <w:rsid w:val="005F7A54"/>
    <w:rsid w:val="005F7D2C"/>
    <w:rsid w:val="006117E1"/>
    <w:rsid w:val="00615584"/>
    <w:rsid w:val="00624125"/>
    <w:rsid w:val="0063687F"/>
    <w:rsid w:val="00645AE3"/>
    <w:rsid w:val="00645C02"/>
    <w:rsid w:val="00650484"/>
    <w:rsid w:val="00654747"/>
    <w:rsid w:val="00657577"/>
    <w:rsid w:val="006614A3"/>
    <w:rsid w:val="006640D2"/>
    <w:rsid w:val="006645A2"/>
    <w:rsid w:val="00665846"/>
    <w:rsid w:val="006661DD"/>
    <w:rsid w:val="00667F3B"/>
    <w:rsid w:val="00673B23"/>
    <w:rsid w:val="00675564"/>
    <w:rsid w:val="006770BA"/>
    <w:rsid w:val="00677196"/>
    <w:rsid w:val="006820F5"/>
    <w:rsid w:val="00691FAC"/>
    <w:rsid w:val="00692B58"/>
    <w:rsid w:val="006976F9"/>
    <w:rsid w:val="006A285B"/>
    <w:rsid w:val="006A6D5C"/>
    <w:rsid w:val="006A7CE4"/>
    <w:rsid w:val="006B1C67"/>
    <w:rsid w:val="006B2AB0"/>
    <w:rsid w:val="006B46AD"/>
    <w:rsid w:val="006B6439"/>
    <w:rsid w:val="006B6EF5"/>
    <w:rsid w:val="006C0F11"/>
    <w:rsid w:val="006C5063"/>
    <w:rsid w:val="006D31FC"/>
    <w:rsid w:val="006D586B"/>
    <w:rsid w:val="006D73FF"/>
    <w:rsid w:val="006D74DA"/>
    <w:rsid w:val="006D7F84"/>
    <w:rsid w:val="006E43DF"/>
    <w:rsid w:val="006E7F0F"/>
    <w:rsid w:val="006F330B"/>
    <w:rsid w:val="006F47E7"/>
    <w:rsid w:val="006F62BD"/>
    <w:rsid w:val="007000FA"/>
    <w:rsid w:val="00703582"/>
    <w:rsid w:val="00710862"/>
    <w:rsid w:val="007224BC"/>
    <w:rsid w:val="00726F31"/>
    <w:rsid w:val="007274C6"/>
    <w:rsid w:val="00734D0B"/>
    <w:rsid w:val="00736786"/>
    <w:rsid w:val="007369AA"/>
    <w:rsid w:val="0074119C"/>
    <w:rsid w:val="007441B5"/>
    <w:rsid w:val="00746DC0"/>
    <w:rsid w:val="00746E1C"/>
    <w:rsid w:val="00750493"/>
    <w:rsid w:val="007548EA"/>
    <w:rsid w:val="00763478"/>
    <w:rsid w:val="007700DC"/>
    <w:rsid w:val="007707C8"/>
    <w:rsid w:val="007929B7"/>
    <w:rsid w:val="00792D54"/>
    <w:rsid w:val="007958F0"/>
    <w:rsid w:val="007959F4"/>
    <w:rsid w:val="00796E96"/>
    <w:rsid w:val="007A1DFB"/>
    <w:rsid w:val="007B05EC"/>
    <w:rsid w:val="007B07CE"/>
    <w:rsid w:val="007C1BDB"/>
    <w:rsid w:val="007C33F8"/>
    <w:rsid w:val="007C3D6F"/>
    <w:rsid w:val="007D4C69"/>
    <w:rsid w:val="007D5EF8"/>
    <w:rsid w:val="007E0B62"/>
    <w:rsid w:val="007E469B"/>
    <w:rsid w:val="007E4DF1"/>
    <w:rsid w:val="007F0CF3"/>
    <w:rsid w:val="007F174D"/>
    <w:rsid w:val="007F4B58"/>
    <w:rsid w:val="007F786B"/>
    <w:rsid w:val="0080242E"/>
    <w:rsid w:val="00803F95"/>
    <w:rsid w:val="00804640"/>
    <w:rsid w:val="00817072"/>
    <w:rsid w:val="00820D73"/>
    <w:rsid w:val="0082369D"/>
    <w:rsid w:val="00823F66"/>
    <w:rsid w:val="0083669E"/>
    <w:rsid w:val="00843B92"/>
    <w:rsid w:val="008506F5"/>
    <w:rsid w:val="00851DC3"/>
    <w:rsid w:val="00851EC7"/>
    <w:rsid w:val="00863E02"/>
    <w:rsid w:val="008644A6"/>
    <w:rsid w:val="008660F2"/>
    <w:rsid w:val="00876E5F"/>
    <w:rsid w:val="008865BE"/>
    <w:rsid w:val="0089272A"/>
    <w:rsid w:val="0089455F"/>
    <w:rsid w:val="008977B6"/>
    <w:rsid w:val="008A18BC"/>
    <w:rsid w:val="008A50F0"/>
    <w:rsid w:val="008A620E"/>
    <w:rsid w:val="008A701B"/>
    <w:rsid w:val="008B07E3"/>
    <w:rsid w:val="008B4E3D"/>
    <w:rsid w:val="008C0A44"/>
    <w:rsid w:val="008C25B4"/>
    <w:rsid w:val="008D2B06"/>
    <w:rsid w:val="008D383B"/>
    <w:rsid w:val="008D5008"/>
    <w:rsid w:val="008E17C6"/>
    <w:rsid w:val="008E291E"/>
    <w:rsid w:val="008E5A91"/>
    <w:rsid w:val="008E70AE"/>
    <w:rsid w:val="008F1784"/>
    <w:rsid w:val="008F1ED2"/>
    <w:rsid w:val="00902510"/>
    <w:rsid w:val="00907E68"/>
    <w:rsid w:val="00914104"/>
    <w:rsid w:val="00916641"/>
    <w:rsid w:val="00922E0E"/>
    <w:rsid w:val="00932244"/>
    <w:rsid w:val="009525EA"/>
    <w:rsid w:val="00953CF3"/>
    <w:rsid w:val="0095741A"/>
    <w:rsid w:val="0096173F"/>
    <w:rsid w:val="00962C63"/>
    <w:rsid w:val="00962EAB"/>
    <w:rsid w:val="00963D38"/>
    <w:rsid w:val="00964056"/>
    <w:rsid w:val="00972DC4"/>
    <w:rsid w:val="00974E83"/>
    <w:rsid w:val="00981E6F"/>
    <w:rsid w:val="009828B1"/>
    <w:rsid w:val="009847BE"/>
    <w:rsid w:val="009924BE"/>
    <w:rsid w:val="00995C71"/>
    <w:rsid w:val="00996B23"/>
    <w:rsid w:val="009972A2"/>
    <w:rsid w:val="009B2B96"/>
    <w:rsid w:val="009B3C91"/>
    <w:rsid w:val="009C4960"/>
    <w:rsid w:val="009C7144"/>
    <w:rsid w:val="009C7A84"/>
    <w:rsid w:val="009D1179"/>
    <w:rsid w:val="009D40B0"/>
    <w:rsid w:val="009D4F34"/>
    <w:rsid w:val="009E185E"/>
    <w:rsid w:val="009E31B7"/>
    <w:rsid w:val="009F0AF2"/>
    <w:rsid w:val="009F4FEA"/>
    <w:rsid w:val="009F62DC"/>
    <w:rsid w:val="009F63A0"/>
    <w:rsid w:val="009F6631"/>
    <w:rsid w:val="00A02731"/>
    <w:rsid w:val="00A03283"/>
    <w:rsid w:val="00A03EB3"/>
    <w:rsid w:val="00A122DD"/>
    <w:rsid w:val="00A14C3B"/>
    <w:rsid w:val="00A14E62"/>
    <w:rsid w:val="00A17191"/>
    <w:rsid w:val="00A22C98"/>
    <w:rsid w:val="00A331FE"/>
    <w:rsid w:val="00A370D3"/>
    <w:rsid w:val="00A4587C"/>
    <w:rsid w:val="00A46628"/>
    <w:rsid w:val="00A53F15"/>
    <w:rsid w:val="00A5476B"/>
    <w:rsid w:val="00A56467"/>
    <w:rsid w:val="00A6025E"/>
    <w:rsid w:val="00A6610E"/>
    <w:rsid w:val="00A70429"/>
    <w:rsid w:val="00A73B10"/>
    <w:rsid w:val="00A73E2D"/>
    <w:rsid w:val="00A764D5"/>
    <w:rsid w:val="00A84273"/>
    <w:rsid w:val="00A87605"/>
    <w:rsid w:val="00A87FEB"/>
    <w:rsid w:val="00A907F5"/>
    <w:rsid w:val="00A918BA"/>
    <w:rsid w:val="00A91B06"/>
    <w:rsid w:val="00A92A63"/>
    <w:rsid w:val="00A9474A"/>
    <w:rsid w:val="00A97D20"/>
    <w:rsid w:val="00AA72B5"/>
    <w:rsid w:val="00AC2960"/>
    <w:rsid w:val="00AC2A38"/>
    <w:rsid w:val="00AC2E6B"/>
    <w:rsid w:val="00AC2FDA"/>
    <w:rsid w:val="00AC4C53"/>
    <w:rsid w:val="00AC5393"/>
    <w:rsid w:val="00AE04BC"/>
    <w:rsid w:val="00AF01BC"/>
    <w:rsid w:val="00AF14BA"/>
    <w:rsid w:val="00AF2A52"/>
    <w:rsid w:val="00AF5AB8"/>
    <w:rsid w:val="00B02817"/>
    <w:rsid w:val="00B0355B"/>
    <w:rsid w:val="00B06701"/>
    <w:rsid w:val="00B14D06"/>
    <w:rsid w:val="00B17F7A"/>
    <w:rsid w:val="00B216A1"/>
    <w:rsid w:val="00B261D2"/>
    <w:rsid w:val="00B27DC1"/>
    <w:rsid w:val="00B353BD"/>
    <w:rsid w:val="00B404FD"/>
    <w:rsid w:val="00B40510"/>
    <w:rsid w:val="00B4315D"/>
    <w:rsid w:val="00B5386F"/>
    <w:rsid w:val="00B60514"/>
    <w:rsid w:val="00B63B43"/>
    <w:rsid w:val="00B64A41"/>
    <w:rsid w:val="00B65017"/>
    <w:rsid w:val="00B66959"/>
    <w:rsid w:val="00B66C5B"/>
    <w:rsid w:val="00B6762E"/>
    <w:rsid w:val="00B676FE"/>
    <w:rsid w:val="00B734E3"/>
    <w:rsid w:val="00B74137"/>
    <w:rsid w:val="00B74C64"/>
    <w:rsid w:val="00B87772"/>
    <w:rsid w:val="00BA1A91"/>
    <w:rsid w:val="00BA4AD3"/>
    <w:rsid w:val="00BA6E08"/>
    <w:rsid w:val="00BB38C1"/>
    <w:rsid w:val="00BB5B03"/>
    <w:rsid w:val="00BC285C"/>
    <w:rsid w:val="00BE1F07"/>
    <w:rsid w:val="00BE3C51"/>
    <w:rsid w:val="00BF4D51"/>
    <w:rsid w:val="00C0051D"/>
    <w:rsid w:val="00C035DA"/>
    <w:rsid w:val="00C13828"/>
    <w:rsid w:val="00C14F29"/>
    <w:rsid w:val="00C20A9D"/>
    <w:rsid w:val="00C23B90"/>
    <w:rsid w:val="00C24A2C"/>
    <w:rsid w:val="00C27B6D"/>
    <w:rsid w:val="00C33077"/>
    <w:rsid w:val="00C338D3"/>
    <w:rsid w:val="00C35EEB"/>
    <w:rsid w:val="00C44601"/>
    <w:rsid w:val="00C510DA"/>
    <w:rsid w:val="00C5711A"/>
    <w:rsid w:val="00C62711"/>
    <w:rsid w:val="00C6564C"/>
    <w:rsid w:val="00C77367"/>
    <w:rsid w:val="00C91230"/>
    <w:rsid w:val="00C97B0A"/>
    <w:rsid w:val="00CA480D"/>
    <w:rsid w:val="00CA5657"/>
    <w:rsid w:val="00CB4AB3"/>
    <w:rsid w:val="00CB595F"/>
    <w:rsid w:val="00CC4195"/>
    <w:rsid w:val="00CD49B4"/>
    <w:rsid w:val="00CD61E3"/>
    <w:rsid w:val="00CD77ED"/>
    <w:rsid w:val="00CE0968"/>
    <w:rsid w:val="00CE134A"/>
    <w:rsid w:val="00CE1F7A"/>
    <w:rsid w:val="00CE2100"/>
    <w:rsid w:val="00CE42FB"/>
    <w:rsid w:val="00CE497E"/>
    <w:rsid w:val="00CF117B"/>
    <w:rsid w:val="00CF1B7B"/>
    <w:rsid w:val="00CF3292"/>
    <w:rsid w:val="00D14177"/>
    <w:rsid w:val="00D178EB"/>
    <w:rsid w:val="00D24410"/>
    <w:rsid w:val="00D24EA3"/>
    <w:rsid w:val="00D268F8"/>
    <w:rsid w:val="00D36008"/>
    <w:rsid w:val="00D3777B"/>
    <w:rsid w:val="00D6056F"/>
    <w:rsid w:val="00D65BE6"/>
    <w:rsid w:val="00D7340F"/>
    <w:rsid w:val="00D74111"/>
    <w:rsid w:val="00D75823"/>
    <w:rsid w:val="00D80137"/>
    <w:rsid w:val="00D85CDF"/>
    <w:rsid w:val="00D9187B"/>
    <w:rsid w:val="00D9438E"/>
    <w:rsid w:val="00D949F7"/>
    <w:rsid w:val="00D9681E"/>
    <w:rsid w:val="00DA247E"/>
    <w:rsid w:val="00DA49F0"/>
    <w:rsid w:val="00DA78C6"/>
    <w:rsid w:val="00DB7FC4"/>
    <w:rsid w:val="00DC023B"/>
    <w:rsid w:val="00DC3BC8"/>
    <w:rsid w:val="00DC542D"/>
    <w:rsid w:val="00DD2A0C"/>
    <w:rsid w:val="00DE76FB"/>
    <w:rsid w:val="00DF0812"/>
    <w:rsid w:val="00DF5898"/>
    <w:rsid w:val="00DF7487"/>
    <w:rsid w:val="00E012DB"/>
    <w:rsid w:val="00E02B52"/>
    <w:rsid w:val="00E06913"/>
    <w:rsid w:val="00E06D6D"/>
    <w:rsid w:val="00E10377"/>
    <w:rsid w:val="00E11596"/>
    <w:rsid w:val="00E154C2"/>
    <w:rsid w:val="00E154EC"/>
    <w:rsid w:val="00E16FB6"/>
    <w:rsid w:val="00E23285"/>
    <w:rsid w:val="00E24651"/>
    <w:rsid w:val="00E26613"/>
    <w:rsid w:val="00E26A02"/>
    <w:rsid w:val="00E3188C"/>
    <w:rsid w:val="00E37DDA"/>
    <w:rsid w:val="00E4313C"/>
    <w:rsid w:val="00E4313F"/>
    <w:rsid w:val="00E46991"/>
    <w:rsid w:val="00E46EE3"/>
    <w:rsid w:val="00E60CD8"/>
    <w:rsid w:val="00E60EA8"/>
    <w:rsid w:val="00E627C3"/>
    <w:rsid w:val="00E75000"/>
    <w:rsid w:val="00E7774D"/>
    <w:rsid w:val="00E8110B"/>
    <w:rsid w:val="00E81713"/>
    <w:rsid w:val="00E81B73"/>
    <w:rsid w:val="00E85888"/>
    <w:rsid w:val="00E876B9"/>
    <w:rsid w:val="00E956E3"/>
    <w:rsid w:val="00EA0128"/>
    <w:rsid w:val="00EB0700"/>
    <w:rsid w:val="00EB258F"/>
    <w:rsid w:val="00EC132C"/>
    <w:rsid w:val="00EC28A3"/>
    <w:rsid w:val="00EC37D5"/>
    <w:rsid w:val="00ED38FC"/>
    <w:rsid w:val="00ED398B"/>
    <w:rsid w:val="00ED422C"/>
    <w:rsid w:val="00ED4A3F"/>
    <w:rsid w:val="00ED5CD3"/>
    <w:rsid w:val="00EE460B"/>
    <w:rsid w:val="00EE71F5"/>
    <w:rsid w:val="00EF27D9"/>
    <w:rsid w:val="00EF3634"/>
    <w:rsid w:val="00EF76E1"/>
    <w:rsid w:val="00F1059D"/>
    <w:rsid w:val="00F128D5"/>
    <w:rsid w:val="00F17B39"/>
    <w:rsid w:val="00F25172"/>
    <w:rsid w:val="00F3238B"/>
    <w:rsid w:val="00F439BD"/>
    <w:rsid w:val="00F43F4E"/>
    <w:rsid w:val="00F456B1"/>
    <w:rsid w:val="00F54CA5"/>
    <w:rsid w:val="00F63C17"/>
    <w:rsid w:val="00F659D1"/>
    <w:rsid w:val="00F66A8D"/>
    <w:rsid w:val="00F71B25"/>
    <w:rsid w:val="00F8195F"/>
    <w:rsid w:val="00F8499C"/>
    <w:rsid w:val="00F90EF2"/>
    <w:rsid w:val="00F91756"/>
    <w:rsid w:val="00F92E08"/>
    <w:rsid w:val="00F960DA"/>
    <w:rsid w:val="00FA1BF9"/>
    <w:rsid w:val="00FA53B9"/>
    <w:rsid w:val="00FA6E48"/>
    <w:rsid w:val="00FB2F83"/>
    <w:rsid w:val="00FB339D"/>
    <w:rsid w:val="00FB629F"/>
    <w:rsid w:val="00FC6BC2"/>
    <w:rsid w:val="00FC6FB1"/>
    <w:rsid w:val="00FD0E71"/>
    <w:rsid w:val="00FD0EA2"/>
    <w:rsid w:val="00FD228E"/>
    <w:rsid w:val="00FE0A74"/>
    <w:rsid w:val="00FE414A"/>
    <w:rsid w:val="00FE5B25"/>
    <w:rsid w:val="00FE654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C9E14"/>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47615A"/>
    <w:pPr>
      <w:shd w:val="clear" w:color="auto" w:fill="E5DFEC" w:themeFill="accent4" w:themeFillTint="33"/>
      <w:spacing w:before="480" w:after="240"/>
      <w:ind w:left="357"/>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23"/>
      </w:numPr>
      <w:spacing w:before="40"/>
      <w:ind w:left="1068"/>
      <w:outlineLvl w:val="1"/>
    </w:pPr>
    <w:rPr>
      <w:rFonts w:eastAsiaTheme="majorEastAsia" w:cstheme="majorBidi"/>
      <w:b/>
      <w:i/>
      <w:color w:val="5F497A" w:themeColor="accent4" w:themeShade="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47615A"/>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customStyle="1" w:styleId="Default">
    <w:name w:val="Default"/>
    <w:rsid w:val="00372AF5"/>
    <w:pPr>
      <w:autoSpaceDE w:val="0"/>
      <w:autoSpaceDN w:val="0"/>
      <w:adjustRightInd w:val="0"/>
    </w:pPr>
    <w:rPr>
      <w:rFonts w:ascii="Calibri" w:hAnsi="Calibri" w:cs="Calibri"/>
      <w:color w:val="000000"/>
      <w:sz w:val="24"/>
      <w:szCs w:val="24"/>
    </w:rPr>
  </w:style>
  <w:style w:type="character" w:styleId="Mentionnonrsolue">
    <w:name w:val="Unresolved Mention"/>
    <w:basedOn w:val="Policepardfaut"/>
    <w:uiPriority w:val="99"/>
    <w:semiHidden/>
    <w:unhideWhenUsed/>
    <w:rsid w:val="007E469B"/>
    <w:rPr>
      <w:color w:val="605E5C"/>
      <w:shd w:val="clear" w:color="auto" w:fill="E1DFDD"/>
    </w:rPr>
  </w:style>
  <w:style w:type="table" w:customStyle="1" w:styleId="TableauGrille5Fonc-Accentuation41">
    <w:name w:val="Tableau Grille 5 Foncé - Accentuation 41"/>
    <w:basedOn w:val="TableauNormal"/>
    <w:next w:val="TableauGrille5Fonc-Accentuation4"/>
    <w:uiPriority w:val="50"/>
    <w:rsid w:val="00692B58"/>
    <w:rPr>
      <w:rFonts w:ascii="Times New Roman" w:eastAsia="Times New Roman" w:hAnsi="Times New Roman" w:cs="Times New Roman"/>
      <w:sz w:val="20"/>
      <w:szCs w:val="20"/>
      <w:lang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table" w:styleId="TableauGrille5Fonc-Accentuation4">
    <w:name w:val="Grid Table 5 Dark Accent 4"/>
    <w:basedOn w:val="TableauNormal"/>
    <w:uiPriority w:val="50"/>
    <w:rsid w:val="00692B5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paragraph" w:styleId="En-ttedetabledesmatires">
    <w:name w:val="TOC Heading"/>
    <w:basedOn w:val="Titre1"/>
    <w:next w:val="Normal"/>
    <w:uiPriority w:val="39"/>
    <w:unhideWhenUsed/>
    <w:qFormat/>
    <w:rsid w:val="00186164"/>
    <w:pPr>
      <w:keepNext/>
      <w:keepLines/>
      <w:shd w:val="clear" w:color="auto" w:fill="auto"/>
      <w:spacing w:line="276" w:lineRule="auto"/>
      <w:ind w:left="0"/>
      <w:jc w:val="left"/>
      <w:outlineLvl w:val="9"/>
    </w:pPr>
    <w:rPr>
      <w:rFonts w:asciiTheme="majorHAnsi" w:eastAsiaTheme="majorEastAsia" w:hAnsiTheme="majorHAnsi" w:cstheme="majorBidi"/>
      <w:bCs/>
      <w:color w:val="365F91" w:themeColor="accent1" w:themeShade="BF"/>
      <w:sz w:val="28"/>
      <w:szCs w:val="28"/>
    </w:rPr>
  </w:style>
  <w:style w:type="paragraph" w:styleId="TM1">
    <w:name w:val="toc 1"/>
    <w:basedOn w:val="Normal"/>
    <w:next w:val="Normal"/>
    <w:autoRedefine/>
    <w:uiPriority w:val="39"/>
    <w:unhideWhenUsed/>
    <w:rsid w:val="00186164"/>
    <w:pPr>
      <w:spacing w:before="120"/>
    </w:pPr>
    <w:rPr>
      <w:rFonts w:asciiTheme="minorHAnsi" w:hAnsiTheme="minorHAnsi"/>
      <w:b/>
      <w:bCs/>
      <w:i/>
      <w:iCs/>
      <w:sz w:val="24"/>
      <w:szCs w:val="24"/>
    </w:rPr>
  </w:style>
  <w:style w:type="paragraph" w:styleId="TM2">
    <w:name w:val="toc 2"/>
    <w:basedOn w:val="Normal"/>
    <w:next w:val="Normal"/>
    <w:autoRedefine/>
    <w:uiPriority w:val="39"/>
    <w:semiHidden/>
    <w:unhideWhenUsed/>
    <w:rsid w:val="00186164"/>
    <w:pPr>
      <w:spacing w:before="120"/>
      <w:ind w:left="220"/>
    </w:pPr>
    <w:rPr>
      <w:rFonts w:asciiTheme="minorHAnsi" w:hAnsiTheme="minorHAnsi"/>
      <w:b/>
      <w:bCs/>
    </w:rPr>
  </w:style>
  <w:style w:type="paragraph" w:styleId="TM3">
    <w:name w:val="toc 3"/>
    <w:basedOn w:val="Normal"/>
    <w:next w:val="Normal"/>
    <w:autoRedefine/>
    <w:uiPriority w:val="39"/>
    <w:semiHidden/>
    <w:unhideWhenUsed/>
    <w:rsid w:val="00186164"/>
    <w:pPr>
      <w:ind w:left="440"/>
    </w:pPr>
    <w:rPr>
      <w:rFonts w:asciiTheme="minorHAnsi" w:hAnsiTheme="minorHAnsi"/>
      <w:sz w:val="20"/>
      <w:szCs w:val="20"/>
    </w:rPr>
  </w:style>
  <w:style w:type="paragraph" w:styleId="TM4">
    <w:name w:val="toc 4"/>
    <w:basedOn w:val="Normal"/>
    <w:next w:val="Normal"/>
    <w:autoRedefine/>
    <w:uiPriority w:val="39"/>
    <w:semiHidden/>
    <w:unhideWhenUsed/>
    <w:rsid w:val="00186164"/>
    <w:pPr>
      <w:ind w:left="660"/>
    </w:pPr>
    <w:rPr>
      <w:rFonts w:asciiTheme="minorHAnsi" w:hAnsiTheme="minorHAnsi"/>
      <w:sz w:val="20"/>
      <w:szCs w:val="20"/>
    </w:rPr>
  </w:style>
  <w:style w:type="paragraph" w:styleId="TM5">
    <w:name w:val="toc 5"/>
    <w:basedOn w:val="Normal"/>
    <w:next w:val="Normal"/>
    <w:autoRedefine/>
    <w:uiPriority w:val="39"/>
    <w:semiHidden/>
    <w:unhideWhenUsed/>
    <w:rsid w:val="00186164"/>
    <w:pPr>
      <w:ind w:left="880"/>
    </w:pPr>
    <w:rPr>
      <w:rFonts w:asciiTheme="minorHAnsi" w:hAnsiTheme="minorHAnsi"/>
      <w:sz w:val="20"/>
      <w:szCs w:val="20"/>
    </w:rPr>
  </w:style>
  <w:style w:type="paragraph" w:styleId="TM6">
    <w:name w:val="toc 6"/>
    <w:basedOn w:val="Normal"/>
    <w:next w:val="Normal"/>
    <w:autoRedefine/>
    <w:uiPriority w:val="39"/>
    <w:semiHidden/>
    <w:unhideWhenUsed/>
    <w:rsid w:val="00186164"/>
    <w:pPr>
      <w:ind w:left="1100"/>
    </w:pPr>
    <w:rPr>
      <w:rFonts w:asciiTheme="minorHAnsi" w:hAnsiTheme="minorHAnsi"/>
      <w:sz w:val="20"/>
      <w:szCs w:val="20"/>
    </w:rPr>
  </w:style>
  <w:style w:type="paragraph" w:styleId="TM7">
    <w:name w:val="toc 7"/>
    <w:basedOn w:val="Normal"/>
    <w:next w:val="Normal"/>
    <w:autoRedefine/>
    <w:uiPriority w:val="39"/>
    <w:semiHidden/>
    <w:unhideWhenUsed/>
    <w:rsid w:val="00186164"/>
    <w:pPr>
      <w:ind w:left="1320"/>
    </w:pPr>
    <w:rPr>
      <w:rFonts w:asciiTheme="minorHAnsi" w:hAnsiTheme="minorHAnsi"/>
      <w:sz w:val="20"/>
      <w:szCs w:val="20"/>
    </w:rPr>
  </w:style>
  <w:style w:type="paragraph" w:styleId="TM8">
    <w:name w:val="toc 8"/>
    <w:basedOn w:val="Normal"/>
    <w:next w:val="Normal"/>
    <w:autoRedefine/>
    <w:uiPriority w:val="39"/>
    <w:semiHidden/>
    <w:unhideWhenUsed/>
    <w:rsid w:val="00186164"/>
    <w:pPr>
      <w:ind w:left="1540"/>
    </w:pPr>
    <w:rPr>
      <w:rFonts w:asciiTheme="minorHAnsi" w:hAnsiTheme="minorHAnsi"/>
      <w:sz w:val="20"/>
      <w:szCs w:val="20"/>
    </w:rPr>
  </w:style>
  <w:style w:type="paragraph" w:styleId="TM9">
    <w:name w:val="toc 9"/>
    <w:basedOn w:val="Normal"/>
    <w:next w:val="Normal"/>
    <w:autoRedefine/>
    <w:uiPriority w:val="39"/>
    <w:semiHidden/>
    <w:unhideWhenUsed/>
    <w:rsid w:val="00186164"/>
    <w:pPr>
      <w:ind w:left="176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48271465">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42575624">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39362076">
      <w:bodyDiv w:val="1"/>
      <w:marLeft w:val="0"/>
      <w:marRight w:val="0"/>
      <w:marTop w:val="0"/>
      <w:marBottom w:val="0"/>
      <w:divBdr>
        <w:top w:val="none" w:sz="0" w:space="0" w:color="auto"/>
        <w:left w:val="none" w:sz="0" w:space="0" w:color="auto"/>
        <w:bottom w:val="none" w:sz="0" w:space="0" w:color="auto"/>
        <w:right w:val="none" w:sz="0" w:space="0" w:color="auto"/>
      </w:divBdr>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energy/topics/renewable-energy/eu-renewable-energy-financing-mechanism_fr" TargetMode="External"/><Relationship Id="rId13" Type="http://schemas.openxmlformats.org/officeDocument/2006/relationships/footer" Target="footer1.xml"/><Relationship Id="rId18" Type="http://schemas.microsoft.com/office/2018/08/relationships/commentsExtensible" Target="commentsExtensible.xml"/><Relationship Id="rId26" Type="http://schemas.openxmlformats.org/officeDocument/2006/relationships/hyperlink" Target="https://www.nweurope.eu/projects/project-search/ecco-creating-new-local-energy-community-co-operatives/" TargetMode="External"/><Relationship Id="rId3" Type="http://schemas.openxmlformats.org/officeDocument/2006/relationships/styles" Target="styles.xml"/><Relationship Id="rId21" Type="http://schemas.openxmlformats.org/officeDocument/2006/relationships/hyperlink" Target="https://cordis.europa.eu/project/id/875090" TargetMode="Externa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5" Type="http://schemas.openxmlformats.org/officeDocument/2006/relationships/hyperlink" Target="https://epv.enr-citoyennes.fr/projet-territoire/projet-interreg/"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s://ec.europa.eu/inea/en/connecting-europe-facility/cef-energy/10.4-0017-czsk-w-m-1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eef.lu/home.html" TargetMode="External"/><Relationship Id="rId24" Type="http://schemas.openxmlformats.org/officeDocument/2006/relationships/hyperlink" Target="https://www.sincrogrid.eu/en" TargetMode="Externa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s://cordis.europa.eu/project/id/952911" TargetMode="External"/><Relationship Id="rId28" Type="http://schemas.openxmlformats.org/officeDocument/2006/relationships/hyperlink" Target="https://ec.europa.eu/environment/life/project/Projects/index.cfm?fuseaction=search.dspPage&amp;n_proj_id=7565" TargetMode="External"/><Relationship Id="rId10" Type="http://schemas.openxmlformats.org/officeDocument/2006/relationships/hyperlink" Target="https://europe-en-lorraine.eu/mise-a-disposition-des-documents-relatifs-au-programme-feder-ftj-fse-du-grand-est-et-du-massif-des-vosges-2021-2027/" TargetMode="External"/><Relationship Id="rId19" Type="http://schemas.openxmlformats.org/officeDocument/2006/relationships/hyperlink" Target="https://www.uia-initiative.eu/fr/uia-cities/pari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files/files/directions_services/plan-de-relance/PNRR%20Francais.pdf" TargetMode="External"/><Relationship Id="rId14" Type="http://schemas.openxmlformats.org/officeDocument/2006/relationships/footer" Target="footer2.xml"/><Relationship Id="rId22" Type="http://schemas.openxmlformats.org/officeDocument/2006/relationships/hyperlink" Target="https://cordis.europa.eu/project/id/963576" TargetMode="External"/><Relationship Id="rId27" Type="http://schemas.openxmlformats.org/officeDocument/2006/relationships/hyperlink" Target="https://cbet-energytraining.eu/fr/accueil/" TargetMode="External"/><Relationship Id="rId30"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FA9EA-6D12-492F-A8EA-095C37F6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4577</Words>
  <Characters>25176</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29694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132</cp:revision>
  <cp:lastPrinted>2020-12-15T10:04:00Z</cp:lastPrinted>
  <dcterms:created xsi:type="dcterms:W3CDTF">2020-12-16T09:20:00Z</dcterms:created>
  <dcterms:modified xsi:type="dcterms:W3CDTF">2021-06-30T08:51:00Z</dcterms:modified>
</cp:coreProperties>
</file>